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Manual do Processo Sancionatório de Licitantes e Contratados — SUGESP/RO</w:t>
      </w:r>
    </w:p>
    <w:p>
      <w:pPr/>
      <w:r>
        <w:t>Versão de 8 de outubro de 2026 · Elaboração: SUGESP/ASTEC</w:t>
      </w:r>
      <w:r/>
      <w:r/>
    </w:p>
    <w:p>
      <w:pPr/>
      <w:r>
        <w:t xml:space="preserve">Este manual orienta, passo a passo, a apuração de infrações e a aplicação de sanções a licitantes, fornecedores e contratados da Superintendência Estadual de Gestão dos Gastos Públicos Administrativos (SUGESP), com base na Lei nº 14.133/2021, no Decreto estadual nº 28.874/2024 e na jurisprudência dos Tribunais de Contas.</w:t>
      </w:r>
    </w:p>
    <w:p>
      <w:pPr/>
      <w:r>
        <w:drawing>
          <wp:inline distT="0" distB="0" distL="0" distR="0">
            <wp:extent cx="5486400" cy="3086100"/>
            <wp:docPr id="1" name="image1" descr="Balança da justiça pesando os autos do processo e as moedas da multa, com o contrato e o martelo ao lado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Balança da justiça pesando os autos do processo e as moedas da multa, com o contrato e o martelo ao lado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1. Como usar este manual</w:t>
      </w:r>
    </w:p>
    <w:p>
      <w:pPr/>
      <w:r>
        <w:t xml:space="preserve">Este manual é o roteiro da SUGESP para apurar infrações de licitantes e contratados e aplicar as sanções da Lei nº 14.133/2021. Ele organiza o que a lei, o Decreto estadual nº 28.874/2024 e o Regimento Interno (Decreto nº 26.905/2022) já exigem; não substitui a manifestação jurídica da PGE no caso concreto.</w:t>
      </w:r>
    </w:p>
    <w:p>
      <w:pPr/>
      <w:r>
        <w:rPr>
          <w:b/>
        </w:rPr>
        <w:t xml:space="preserve">Público.</w:t>
      </w:r>
      <w:r>
        <w:t xml:space="preserve"> Fiscais e gestores de contrato, agentes de contratação e pregoeiros, Gerência de Contratos e Convênios (GCONV), comissões processantes, Diretoria Executiva (DIREX) e Assessoria Técnica (ASTEC), Assessoria Jurídica (unidade setorial da PGE), Controle Interno, CAF/GFIN/GCONT e Superintendente.</w:t>
      </w:r>
    </w:p>
    <w:p>
      <w:pPr/>
      <w:r>
        <w:rPr>
          <w:b/>
        </w:rPr>
        <w:t xml:space="preserve">Abrange.</w:t>
      </w:r>
      <w:r>
        <w:t xml:space="preserve"> Licitações, contratações diretas, atas de registro de preços, contratos e instrumentos equivalentes regidos pela Lei nº 14.133/2021. Contratos assinados sob a Lei nº 8.666/1993 ou a Lei nº 10.520/2002 seguem a lei antiga (ver seção 2).</w:t>
      </w:r>
    </w:p>
    <w:p>
      <w:pPr/>
      <w:r>
        <w:rPr>
          <w:b/>
        </w:rPr>
        <w:t xml:space="preserve">Não abrange.</w:t>
      </w:r>
      <w:r>
        <w:t xml:space="preserve"> Responsabilidade disciplinar de servidores, conduzida pela Comissão Especial de Apuração Preliminar (CEAP, Portaria nº 162/2024); improbidade; crimes, que apenas são comunicados ao Ministério Público.</w:t>
      </w:r>
    </w:p>
    <w:p>
      <w:pPr/>
      <w:r>
        <w:rPr>
          <w:b/>
        </w:rPr>
        <w:t xml:space="preserve">Como ler.</w:t>
      </w:r>
      <w:r>
        <w:t xml:space="preserve"> Seções 2 a 7 dão os fundamentos. Seções 8 a 16 descrevem o rito, fase por fase; a seção 8 explica quando abrir o rito sumário e quando abrir o processo com comissão. Seções 17 a 19 tratam de casos especiais e do controle externo. Seções 20 a 23 trazem checklists, modelos, perguntas frequentes e glossário.</w:t>
      </w:r>
    </w:p>
    <w:p>
      <w:pPr/>
      <w:r>
        <w:rPr>
          <w:b/>
        </w:rPr>
        <w:t xml:space="preserve">Se você é fiscal.</w:t>
      </w:r>
      <w:r>
        <w:t xml:space="preserve"> (1) Registre o fato no SEI no mesmo dia, com foto ou registro de sistema. (2) Notifique para corrigir (modelo 21.1). (3) Não corrigiu, houve prejuízo ou a falha se repetiu? Faça a representação (modelo 21.10) e envie ao gestor. (4) Não desconte nada por conta própria: glosa e multa são coisas diferentes. (5) Se você pode decidir o caso, o despacho de abertura é seu; se não, quem decide é a autoridade da seção 3.2.</w:t>
      </w:r>
    </w:p>
    <w:p>
      <w:pPr>
        <w:pStyle w:val="Heading3"/>
      </w:pPr>
      <w:r>
        <w:t xml:space="preserve">O processo em uma página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  <w:shd w:val="clear" w:color="auto" w:fill="F2F2F2"/>
          </w:tcPr>
          <w:p>
            <w:pPr/>
            <w:r>
              <w:t xml:space="preserve">Passo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O que acontece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Quem conduz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Prazo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Base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1. Notícia do fato</w:t>
            </w:r>
          </w:p>
        </w:tc>
        <w:tc>
          <w:tcPr>
            <w:tcW w:w="1872" w:type="dxa"/>
          </w:tcPr>
          <w:p>
            <w:pPr/>
            <w:r>
              <w:t xml:space="preserve">Representação com provas, data da primeira ciência e proposta de enquadramento (modelo 21.10)</w:t>
            </w:r>
          </w:p>
        </w:tc>
        <w:tc>
          <w:tcPr>
            <w:tcW w:w="1872" w:type="dxa"/>
          </w:tcPr>
          <w:p>
            <w:pPr/>
            <w:r>
              <w:t xml:space="preserve">Fiscal, gestor, agente de contratação ou pregoeiro</w:t>
            </w:r>
          </w:p>
        </w:tc>
        <w:tc>
          <w:tcPr>
            <w:tcW w:w="1872" w:type="dxa"/>
          </w:tcPr>
          <w:p>
            <w:pPr/>
            <w:r>
              <w:t xml:space="preserve">Até 5 dias úteis da ciência (recomendado)</w:t>
            </w:r>
          </w:p>
        </w:tc>
        <w:tc>
          <w:tcPr>
            <w:tcW w:w="1872" w:type="dxa"/>
          </w:tcPr>
          <w:p>
            <w:pPr/>
            <w:r>
              <w:t xml:space="preserve">Lei 3.830, arts. 6º, I, e 23; Lei 14.133, art. 169, § 3º, II; Dec. 28.874, arts. 20, V e XV, e 23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2. Abertura</w:t>
            </w:r>
          </w:p>
        </w:tc>
        <w:tc>
          <w:tcPr>
            <w:tcW w:w="1872" w:type="dxa"/>
          </w:tcPr>
          <w:p>
            <w:pPr/>
            <w:r>
              <w:t xml:space="preserve">Ato único que confere fatos, enquadramento e prescrição, escolhe o caminho e instaura (despacho no rito simplificado; portaria na comissão), arquiva motivadamente ou remete à CGE se houver ato lesivo</w:t>
            </w:r>
          </w:p>
        </w:tc>
        <w:tc>
          <w:tcPr>
            <w:tcW w:w="1872" w:type="dxa"/>
          </w:tcPr>
          <w:p>
            <w:pPr/>
            <w:r>
              <w:t xml:space="preserve">Quem tem competência (seção 3.2); ASTEC/DIREX só se houver dúvida</w:t>
            </w:r>
          </w:p>
        </w:tc>
        <w:tc>
          <w:tcPr>
            <w:tcW w:w="1872" w:type="dxa"/>
          </w:tcPr>
          <w:p>
            <w:pPr/>
            <w:r>
              <w:t xml:space="preserve">—</w:t>
            </w:r>
          </w:p>
        </w:tc>
        <w:tc>
          <w:tcPr>
            <w:tcW w:w="1872" w:type="dxa"/>
          </w:tcPr>
          <w:p>
            <w:pPr/>
            <w:r>
              <w:t xml:space="preserve">Lei 14.133, arts. 158 e 159; Dec. 28.874, arts. 185 a 187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3. Intimação e defesa</w:t>
            </w:r>
          </w:p>
        </w:tc>
        <w:tc>
          <w:tcPr>
            <w:tcW w:w="1872" w:type="dxa"/>
          </w:tcPr>
          <w:p>
            <w:pPr/>
            <w:r>
              <w:t xml:space="preserve">Acesso integral aos autos e prazo para defesa e provas; garantidor notificado</w:t>
            </w:r>
          </w:p>
        </w:tc>
        <w:tc>
          <w:tcPr>
            <w:tcW w:w="1872" w:type="dxa"/>
          </w:tcPr>
          <w:p>
            <w:pPr/>
            <w:r>
              <w:t xml:space="preserve">Condutor ou comissão; GCONV</w:t>
            </w:r>
          </w:p>
        </w:tc>
        <w:tc>
          <w:tcPr>
            <w:tcW w:w="1872" w:type="dxa"/>
          </w:tcPr>
          <w:p>
            <w:pPr/>
            <w:r>
              <w:t xml:space="preserve">15 dias úteis</w:t>
            </w:r>
          </w:p>
        </w:tc>
        <w:tc>
          <w:tcPr>
            <w:tcW w:w="1872" w:type="dxa"/>
          </w:tcPr>
          <w:p>
            <w:pPr/>
            <w:r>
              <w:t xml:space="preserve">Lei 14.133, arts. 137, § 4º, 157 e 158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4. Instrução</w:t>
            </w:r>
          </w:p>
        </w:tc>
        <w:tc>
          <w:tcPr>
            <w:tcW w:w="1872" w:type="dxa"/>
          </w:tcPr>
          <w:p>
            <w:pPr/>
            <w:r>
              <w:t xml:space="preserve">Diligências, provas e, sempre, manifestação final ou alegações finais</w:t>
            </w:r>
          </w:p>
        </w:tc>
        <w:tc>
          <w:tcPr>
            <w:tcW w:w="1872" w:type="dxa"/>
          </w:tcPr>
          <w:p>
            <w:pPr/>
            <w:r>
              <w:t xml:space="preserve">Condutor ou comissão</w:t>
            </w:r>
          </w:p>
        </w:tc>
        <w:tc>
          <w:tcPr>
            <w:tcW w:w="1872" w:type="dxa"/>
          </w:tcPr>
          <w:p>
            <w:pPr/>
            <w:r>
              <w:t xml:space="preserve">10 dias úteis (simplificado) ou 15 (comissão) para a manifestação final</w:t>
            </w:r>
          </w:p>
        </w:tc>
        <w:tc>
          <w:tcPr>
            <w:tcW w:w="1872" w:type="dxa"/>
          </w:tcPr>
          <w:p>
            <w:pPr/>
            <w:r>
              <w:t xml:space="preserve">Lei 3.830, arts. 62 e 67; Lei 14.133, art. 158, §§ 2º e 3º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5. Relatório</w:t>
            </w:r>
          </w:p>
        </w:tc>
        <w:tc>
          <w:tcPr>
            <w:tcW w:w="1872" w:type="dxa"/>
          </w:tcPr>
          <w:p>
            <w:pPr/>
            <w:r>
              <w:t xml:space="preserve">Conclusão sobre materialidade, autoria, excludentes e dosimetria</w:t>
            </w:r>
          </w:p>
        </w:tc>
        <w:tc>
          <w:tcPr>
            <w:tcW w:w="1872" w:type="dxa"/>
          </w:tcPr>
          <w:p>
            <w:pPr/>
            <w:r>
              <w:t xml:space="preserve">Condutor ou comissão</w:t>
            </w:r>
          </w:p>
        </w:tc>
        <w:tc>
          <w:tcPr>
            <w:tcW w:w="1872" w:type="dxa"/>
          </w:tcPr>
          <w:p>
            <w:pPr/>
            <w:r>
              <w:t xml:space="preserve">—</w:t>
            </w:r>
          </w:p>
        </w:tc>
        <w:tc>
          <w:tcPr>
            <w:tcW w:w="1872" w:type="dxa"/>
          </w:tcPr>
          <w:p>
            <w:pPr/>
            <w:r>
              <w:t xml:space="preserve">Lei 3.830, art. 65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6. Análise jurídica</w:t>
            </w:r>
          </w:p>
        </w:tc>
        <w:tc>
          <w:tcPr>
            <w:tcW w:w="1872" w:type="dxa"/>
          </w:tcPr>
          <w:p>
            <w:pPr/>
            <w:r>
              <w:t xml:space="preserve">Obrigatória na inidoneidade, desconsideração da pessoa jurídica e reabilitação</w:t>
            </w:r>
          </w:p>
        </w:tc>
        <w:tc>
          <w:tcPr>
            <w:tcW w:w="1872" w:type="dxa"/>
          </w:tcPr>
          <w:p>
            <w:pPr/>
            <w:r>
              <w:t xml:space="preserve">Assessoria Jurídica (PGE)</w:t>
            </w:r>
          </w:p>
        </w:tc>
        <w:tc>
          <w:tcPr>
            <w:tcW w:w="1872" w:type="dxa"/>
          </w:tcPr>
          <w:p>
            <w:pPr/>
            <w:r>
              <w:t xml:space="preserve">Até 30 dias</w:t>
            </w:r>
          </w:p>
        </w:tc>
        <w:tc>
          <w:tcPr>
            <w:tcW w:w="1872" w:type="dxa"/>
          </w:tcPr>
          <w:p>
            <w:pPr/>
            <w:r>
              <w:t xml:space="preserve">Lei 14.133, arts. 156, § 6º, 160 e 163; Dec. 28.874, art. 186, p.ú., II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7. Decisão</w:t>
            </w:r>
          </w:p>
        </w:tc>
        <w:tc>
          <w:tcPr>
            <w:tcW w:w="1872" w:type="dxa"/>
          </w:tcPr>
          <w:p>
            <w:pPr/>
            <w:r>
              <w:t xml:space="preserve">Ato motivado que aplica a sanção ou arquiva</w:t>
            </w:r>
          </w:p>
        </w:tc>
        <w:tc>
          <w:tcPr>
            <w:tcW w:w="1872" w:type="dxa"/>
          </w:tcPr>
          <w:p>
            <w:pPr/>
            <w:r>
              <w:t xml:space="preserve">Autoridade competente (seção 3.2)</w:t>
            </w:r>
          </w:p>
        </w:tc>
        <w:tc>
          <w:tcPr>
            <w:tcW w:w="1872" w:type="dxa"/>
          </w:tcPr>
          <w:p>
            <w:pPr/>
            <w:r>
              <w:t xml:space="preserve">Até 30 dias após a instrução</w:t>
            </w:r>
          </w:p>
        </w:tc>
        <w:tc>
          <w:tcPr>
            <w:tcW w:w="1872" w:type="dxa"/>
          </w:tcPr>
          <w:p>
            <w:pPr/>
            <w:r>
              <w:t xml:space="preserve">Lei 14.133, art. 156, § 1º; Lei 3.830, art. 67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8. Recurso</w:t>
            </w:r>
          </w:p>
        </w:tc>
        <w:tc>
          <w:tcPr>
            <w:tcW w:w="1872" w:type="dxa"/>
          </w:tcPr>
          <w:p>
            <w:pPr/>
            <w:r>
              <w:t xml:space="preserve">Recurso ou pedido de reconsideração, com efeito suspensivo</w:t>
            </w:r>
          </w:p>
        </w:tc>
        <w:tc>
          <w:tcPr>
            <w:tcW w:w="1872" w:type="dxa"/>
          </w:tcPr>
          <w:p>
            <w:pPr/>
            <w:r>
              <w:t xml:space="preserve">Quem decidiu e a autoridade superior</w:t>
            </w:r>
          </w:p>
        </w:tc>
        <w:tc>
          <w:tcPr>
            <w:tcW w:w="1872" w:type="dxa"/>
          </w:tcPr>
          <w:p>
            <w:pPr/>
            <w:r>
              <w:t xml:space="preserve">15 dias úteis para recorrer; 5 para reconsiderar; 20 para decidir</w:t>
            </w:r>
          </w:p>
        </w:tc>
        <w:tc>
          <w:tcPr>
            <w:tcW w:w="1872" w:type="dxa"/>
          </w:tcPr>
          <w:p>
            <w:pPr/>
            <w:r>
              <w:t xml:space="preserve">Lei 14.133, arts. 166 a 168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9. Execução e registro</w:t>
            </w:r>
          </w:p>
        </w:tc>
        <w:tc>
          <w:tcPr>
            <w:tcW w:w="1872" w:type="dxa"/>
          </w:tcPr>
          <w:p>
            <w:pPr/>
            <w:r>
              <w:t xml:space="preserve">Cobrança da multa e lançamento no Ceis/Cnep e no cadastro estadual</w:t>
            </w:r>
          </w:p>
        </w:tc>
        <w:tc>
          <w:tcPr>
            <w:tcW w:w="1872" w:type="dxa"/>
          </w:tcPr>
          <w:p>
            <w:pPr/>
            <w:r>
              <w:t xml:space="preserve">GCONV, CAF e CGE</w:t>
            </w:r>
          </w:p>
        </w:tc>
        <w:tc>
          <w:tcPr>
            <w:tcW w:w="1872" w:type="dxa"/>
          </w:tcPr>
          <w:p>
            <w:pPr/>
            <w:r>
              <w:t xml:space="preserve">15 dias úteis para o registro</w:t>
            </w:r>
          </w:p>
        </w:tc>
        <w:tc>
          <w:tcPr>
            <w:tcW w:w="1872" w:type="dxa"/>
          </w:tcPr>
          <w:p>
            <w:pPr/>
            <w:r>
              <w:t xml:space="preserve">Lei 14.133, art. 161; Dec. 28.874, art. 186, p.ú., III</w:t>
            </w:r>
          </w:p>
        </w:tc>
      </w:tr>
    </w:tbl>
    <w:p>
      <w:pPr>
        <w:pStyle w:val="Heading3"/>
      </w:pPr>
      <w:r>
        <w:t xml:space="preserve">Sete regras que valem para todo o processo</w:t>
      </w:r>
    </w:p>
    <w:p>
      <w:pPr>
        <w:pStyle w:val="ListParagraph"/>
        <w:numPr>
          <w:ilvl w:val="0"/>
          <w:numId w:val="2"/>
        </w:numPr>
      </w:pPr>
      <w:r>
        <w:t xml:space="preserve">Apurar é dever. Deixar de instaurar ou de sancionar exige decisão motivada nos autos.</w:t>
      </w:r>
    </w:p>
    <w:p>
      <w:pPr>
        <w:pStyle w:val="ListParagraph"/>
        <w:numPr>
          <w:ilvl w:val="0"/>
          <w:numId w:val="2"/>
        </w:numPr>
      </w:pPr>
      <w:r>
        <w:t xml:space="preserve">Sem tipicidade não há sanção: a conduta precisa caber no art. 155 da Lei 14.133. A multa só existe na forma prevista no edital ou no contrato (arts. 92, XIV, e 156, § 3º); advertência, impedimento e inidoneidade decorrem da própria lei. Edital omisso não autoriza arquivar sem ouvir a Assessoria Jurídica.</w:t>
      </w:r>
    </w:p>
    <w:p>
      <w:pPr>
        <w:pStyle w:val="ListParagraph"/>
        <w:numPr>
          <w:ilvl w:val="0"/>
          <w:numId w:val="2"/>
        </w:numPr>
      </w:pPr>
      <w:r>
        <w:t xml:space="preserve">Notificação saneadora não é defesa. Antes de qualquer sanção, inclusive advertência, o prazo de defesa é de 15 dias úteis.</w:t>
      </w:r>
    </w:p>
    <w:p>
      <w:pPr>
        <w:pStyle w:val="ListParagraph"/>
        <w:numPr>
          <w:ilvl w:val="0"/>
          <w:numId w:val="2"/>
        </w:numPr>
      </w:pPr>
      <w:r>
        <w:t xml:space="preserve">Glosa não é multa, e multa de mora não é multa compensatória. Cada uma tem memória de cálculo própria.</w:t>
      </w:r>
    </w:p>
    <w:p>
      <w:pPr>
        <w:pStyle w:val="ListParagraph"/>
        <w:numPr>
          <w:ilvl w:val="0"/>
          <w:numId w:val="2"/>
        </w:numPr>
      </w:pPr>
      <w:r>
        <w:t xml:space="preserve">O caminho segue a sanção que você proporia se os fatos documentados se confirmassem: advertência ou multa, rito simplificado; impedimento ou inidoneidade, comissão; ato lesivo da Lei 12.846, CGE. Na dúvida razoável, comissão.</w:t>
      </w:r>
    </w:p>
    <w:p>
      <w:pPr>
        <w:pStyle w:val="ListParagraph"/>
        <w:numPr>
          <w:ilvl w:val="0"/>
          <w:numId w:val="2"/>
        </w:numPr>
      </w:pPr>
      <w:r>
        <w:t xml:space="preserve">Quem conduz ou decide não pode ter impedimento ou suspeição. Quem atuou no fato não integra a comissão; no rito simplificado, decide a fiscalização ou a autoridade competente (seção 3.2).</w:t>
      </w:r>
    </w:p>
    <w:p>
      <w:pPr>
        <w:pStyle w:val="ListParagraph"/>
        <w:numPr>
          <w:ilvl w:val="0"/>
          <w:numId w:val="2"/>
        </w:numPr>
      </w:pPr>
      <w:r>
        <w:t xml:space="preserve">Toda decisão enfrenta os fatos, as provas, a norma, a dosimetria e cada argumento da defesa.</w:t>
      </w:r>
    </w:p>
    <w:p>
      <w:pPr>
        <w:pStyle w:val="Quote"/>
      </w:pPr>
      <w:r>
        <w:t xml:space="preserve">Natureza deste documento: orientação técnica interna. Para adoção oficial na SUGESP, recomenda-se aprová-lo por portaria do Superintendente, que também deve resolver os pontos listados ao fim da seção 24; as faixas de dosimetria da seção 7 continuam orientativas, com revisão quando a PGE e a CGE editarem o ato conjunto previsto no art. 184, § 2º, do Decreto nº 28.874/2024, ainda não localizado nas fontes oficiais.</w:t>
      </w:r>
    </w:p>
    <w:p>
      <w:pPr>
        <w:pStyle w:val="Heading2"/>
      </w:pPr>
      <w:r>
        <w:t xml:space="preserve">2. Base normativa e direito intertemporal</w:t>
      </w:r>
    </w:p>
    <w:p>
      <w:pPr/>
      <w:r>
        <w:t xml:space="preserve">O processo sancionatório da SUGESP se apoia em cinco camadas de normas. As superiores prevalecem: decreto não se sobrepõe a lei, e as camadas inferiores detalham, sem criar infração nem sanção novas.</w:t>
      </w:r>
    </w:p>
    <w:p>
      <w:pPr>
        <w:pStyle w:val="Heading3"/>
      </w:pPr>
      <w:r>
        <w:t xml:space="preserve">2.1 Hierarquia de fontes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  <w:shd w:val="clear" w:color="auto" w:fill="F2F2F2"/>
          </w:tcPr>
          <w:p>
            <w:pPr/>
            <w:r>
              <w:t xml:space="preserve">Camada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Norma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O que dá ao processo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Dispositivos de uso frequente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1</w:t>
            </w:r>
          </w:p>
        </w:tc>
        <w:tc>
          <w:tcPr>
            <w:tcW w:w="2340" w:type="dxa"/>
          </w:tcPr>
          <w:p>
            <w:pPr/>
            <w:r>
              <w:t xml:space="preserve">Constituição Federal</w:t>
            </w:r>
          </w:p>
        </w:tc>
        <w:tc>
          <w:tcPr>
            <w:tcW w:w="2340" w:type="dxa"/>
          </w:tcPr>
          <w:p>
            <w:pPr/>
            <w:r>
              <w:t xml:space="preserve">Devido processo, contraditório, ampla defesa, legalidade e competência da União para normas gerais</w:t>
            </w:r>
          </w:p>
        </w:tc>
        <w:tc>
          <w:tcPr>
            <w:tcW w:w="2340" w:type="dxa"/>
          </w:tcPr>
          <w:p>
            <w:pPr/>
            <w:r>
              <w:t xml:space="preserve">Art. 5º, LIV e LV; art. 37, caput; art. 22, XXVII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2</w:t>
            </w:r>
          </w:p>
        </w:tc>
        <w:tc>
          <w:tcPr>
            <w:tcW w:w="2340" w:type="dxa"/>
          </w:tcPr>
          <w:p>
            <w:pPr/>
            <w:hyperlink r:id="rId4" w:history="1">
              <w:r>
                <w:rPr>
                  <w:rStyle w:val="Hyperlink"/>
                </w:rPr>
                <w:t xml:space="preserve">Lei nº 14.133/2021</w:t>
              </w:r>
            </w:hyperlink>
            <w:r>
              <w:t xml:space="preserve"> e demais leis federais aplicáveis</w:t>
            </w:r>
          </w:p>
        </w:tc>
        <w:tc>
          <w:tcPr>
            <w:tcW w:w="2340" w:type="dxa"/>
          </w:tcPr>
          <w:p>
            <w:pPr/>
            <w:r>
              <w:t xml:space="preserve">Infrações, sanções, rito mínimo, prescrição, recursos, registro e reabilitação; atos lesivos e PAR (Lei 12.846/2013)</w:t>
            </w:r>
          </w:p>
        </w:tc>
        <w:tc>
          <w:tcPr>
            <w:tcW w:w="2340" w:type="dxa"/>
          </w:tcPr>
          <w:p>
            <w:pPr/>
            <w:r>
              <w:t xml:space="preserve">Arts. 155 a 163, 166 a 168 e 183; também arts. 14, III e § 1º; 25; 88, § 3º; 90, §§ 5º a 7º; 91, § 4º; 92, XIV; 137 a 139; 143; 169, § 3º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3</w:t>
            </w:r>
          </w:p>
        </w:tc>
        <w:tc>
          <w:tcPr>
            <w:tcW w:w="2340" w:type="dxa"/>
          </w:tcPr>
          <w:p>
            <w:pPr/>
            <w:r>
              <w:t xml:space="preserve">Leis estaduais: </w:t>
            </w:r>
            <w:hyperlink r:id="rId5" w:history="1">
              <w:r>
                <w:rPr>
                  <w:rStyle w:val="Hyperlink"/>
                </w:rPr>
                <w:t xml:space="preserve">Lei nº 3.830/2016</w:t>
              </w:r>
            </w:hyperlink>
            <w:r>
              <w:t xml:space="preserve"> e LC nº 965/2017</w:t>
            </w:r>
          </w:p>
        </w:tc>
        <w:tc>
          <w:tcPr>
            <w:tcW w:w="2340" w:type="dxa"/>
          </w:tcPr>
          <w:p>
            <w:pPr/>
            <w:r>
              <w:t xml:space="preserve">Regras gerais de processo administrativo em Rondônia, aplicadas no que a Lei 14.133 não regula; posição da SUGESP na estrutura do Estado</w:t>
            </w:r>
          </w:p>
        </w:tc>
        <w:tc>
          <w:tcPr>
            <w:tcW w:w="2340" w:type="dxa"/>
          </w:tcPr>
          <w:p>
            <w:pPr/>
            <w:r>
              <w:t xml:space="preserve">Lei 3.830, arts. 5º a 8º, 12 e 13, 20 e 21, 25 e 26, 36-I a 36-M, 37 a 39, 44 a 46, 56, 59 a 67, 79, 82 e 84; LC 965, arts. 89, 113, 171 e 172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4</w:t>
            </w:r>
          </w:p>
        </w:tc>
        <w:tc>
          <w:tcPr>
            <w:tcW w:w="2340" w:type="dxa"/>
          </w:tcPr>
          <w:p>
            <w:pPr/>
            <w:r>
              <w:t xml:space="preserve">Decretos estaduais: </w:t>
            </w:r>
            <w:hyperlink r:id="rId6" w:history="1">
              <w:r>
                <w:rPr>
                  <w:rStyle w:val="Hyperlink"/>
                </w:rPr>
                <w:t xml:space="preserve">nº 28.874/2024</w:t>
              </w:r>
            </w:hyperlink>
            <w:r>
              <w:t xml:space="preserve">, </w:t>
            </w:r>
            <w:hyperlink r:id="rId7" w:history="1">
              <w:r>
                <w:rPr>
                  <w:rStyle w:val="Hyperlink"/>
                </w:rPr>
                <w:t xml:space="preserve">nº 26.905/2022 (Regimento Interno da SUGESP)</w:t>
              </w:r>
            </w:hyperlink>
            <w:r>
              <w:t xml:space="preserve"> e </w:t>
            </w:r>
            <w:hyperlink r:id="rId8" w:history="1">
              <w:r>
                <w:rPr>
                  <w:rStyle w:val="Hyperlink"/>
                </w:rPr>
                <w:t xml:space="preserve">nº 23.907/2019 (PAR)</w:t>
              </w:r>
            </w:hyperlink>
          </w:p>
        </w:tc>
        <w:tc>
          <w:tcPr>
            <w:tcW w:w="2340" w:type="dxa"/>
          </w:tcPr>
          <w:p>
            <w:pPr/>
            <w:r>
              <w:t xml:space="preserve">Rito simplificado ou com comissão, competências, notificação, cadastro estadual, gestão e fiscalização; quem faz o quê na SUGESP; PAR conduzido com a CGE</w:t>
            </w:r>
          </w:p>
        </w:tc>
        <w:tc>
          <w:tcPr>
            <w:tcW w:w="2340" w:type="dxa"/>
          </w:tcPr>
          <w:p>
            <w:pPr/>
            <w:r>
              <w:t xml:space="preserve">Dec. 28.874, arts. 19 a 26 e 184 a 187; Dec. 26.905, arts. 4º, 6º, 9º, 10, 12, 16 e 17; Dec. 23.907, arts. 2º, 8º e 9º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5</w:t>
            </w:r>
          </w:p>
        </w:tc>
        <w:tc>
          <w:tcPr>
            <w:tcW w:w="2340" w:type="dxa"/>
          </w:tcPr>
          <w:p>
            <w:pPr/>
            <w:r>
              <w:t xml:space="preserve">Edital, termo de referência e contrato</w:t>
            </w:r>
          </w:p>
        </w:tc>
        <w:tc>
          <w:tcPr>
            <w:tcW w:w="2340" w:type="dxa"/>
          </w:tcPr>
          <w:p>
            <w:pPr/>
            <w:r>
              <w:t xml:space="preserve">Descrição concreta das condutas, percentuais e bases de cálculo das multas</w:t>
            </w:r>
          </w:p>
        </w:tc>
        <w:tc>
          <w:tcPr>
            <w:tcW w:w="2340" w:type="dxa"/>
          </w:tcPr>
          <w:p>
            <w:pPr/>
            <w:r>
              <w:t xml:space="preserve">Lei 14.133, arts. 25 e 92, XIV</w:t>
            </w:r>
          </w:p>
        </w:tc>
      </w:tr>
    </w:tbl>
    <w:p>
      <w:pPr/>
      <w:r>
        <w:rPr>
          <w:b/>
        </w:rPr>
        <w:t xml:space="preserve">Normas complementares.</w:t>
      </w:r>
      <w:r>
        <w:t xml:space="preserve"> Lei nº 12.846/2013 (atos lesivos e processo administrativo de responsabilização, o PAR, regulamentado em Rondônia pelo Decreto nº 23.907/2019); LINDB, arts. 20 a 22, 26 e 28 (consequências práticas, dificuldades reais do gestor, compromisso e erro grosseiro); LGPD (dados pessoais nos autos e nos extratos); Portaria Normativa CGU nº 75/2023 (Banco de Sanções, que alimenta Ceis e Cnep).</w:t>
      </w:r>
    </w:p>
    <w:p>
      <w:pPr/>
      <w:r>
        <w:rPr>
          <w:b/>
        </w:rPr>
        <w:t xml:space="preserve">E a Lei nº 9.784/1999?</w:t>
      </w:r>
      <w:r>
        <w:t xml:space="preserve"> Ela rege o processo administrativo federal. Rondônia tem lei própria, a Lei nº 3.830/2016, que deve ser citada em primeiro lugar. A lei federal serve apenas como referência interpretativa.</w:t>
      </w:r>
    </w:p>
    <w:p>
      <w:pPr/>
      <w:r>
        <w:rPr>
          <w:b/>
        </w:rPr>
        <w:t xml:space="preserve">Limite da norma interna.</w:t>
      </w:r>
      <w:r>
        <w:t xml:space="preserve"> A Lei estadual nº 3.830/2016, art. 7º, II, reserva à lei a previsão de infrações e sanções. Edital, contrato, portaria e este manual detalham condutas que já cabem no art. 155 da Lei 14.133 e calibram percentuais dentro dos limites do art. 156. Não criam infração nova.</w:t>
      </w:r>
    </w:p>
    <w:p>
      <w:pPr/>
      <w:r>
        <w:rPr>
          <w:b/>
        </w:rPr>
        <w:t xml:space="preserve">Lei estadual e decreto.</w:t>
      </w:r>
      <w:r>
        <w:t xml:space="preserve"> A Lei 3.830 se aplica no que a Lei 14.133 não regula (art. 3º). Em conflito com o Decreto 28.874, prevalece a lei estadual, por exemplo nas alegações finais, na sustentação oral e na vedação de agravamento no recurso.</w:t>
      </w:r>
    </w:p>
    <w:p>
      <w:pPr>
        <w:pStyle w:val="Heading3"/>
      </w:pPr>
      <w:r>
        <w:t xml:space="preserve">2.2 A lacuna do ato conjunto PGE/CGE</w:t>
      </w:r>
    </w:p>
    <w:p>
      <w:pPr/>
      <w:r>
        <w:t xml:space="preserve">O art. 184, § 2º, do Decreto nº 28.874/2024 manda que PGE e CGE regulamentem, por ato conjunto, o procedimento de apuração. O texto compilado do decreto na DITEL não traz alteração nos arts. 184 a 187, e o ato conjunto não foi localizado nas fontes oficiais até a data deste manual. Enquanto ele não existir, a SUGESP aplica a Lei 14.133, os arts. 184 a 187 do decreto, a Lei estadual nº 3.830/2016 e este manual. Editado o ato conjunto, ele prevalece sobre este documento.</w:t>
      </w:r>
    </w:p>
    <w:p>
      <w:pPr>
        <w:pStyle w:val="Heading3"/>
      </w:pPr>
      <w:r>
        <w:t xml:space="preserve">2.3 Direito intertemporal: qual lei rege o caso?</w:t>
      </w:r>
    </w:p>
    <w:p>
      <w:pPr/>
      <w:r>
        <w:t xml:space="preserve">A lei aplicável às infrações e sanções é a que rege o contrato ou a licitação. Confira o preâmbulo do edital ou do contrato antes de enquadrar qualquer fato.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Situação do ajuste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Regime de infrações e sanções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Fundamento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Contrato assinado antes de 1º/4/2021</w:t>
            </w:r>
          </w:p>
        </w:tc>
        <w:tc>
          <w:tcPr>
            <w:tcW w:w="3120" w:type="dxa"/>
          </w:tcPr>
          <w:p>
            <w:pPr/>
            <w:r>
              <w:t xml:space="preserve">Lei nº 8.666/1993 (arts. 86 a 88) ou Lei nº 10.520/2002 (art. 7º), durante toda a vigência</w:t>
            </w:r>
          </w:p>
        </w:tc>
        <w:tc>
          <w:tcPr>
            <w:tcW w:w="3120" w:type="dxa"/>
          </w:tcPr>
          <w:p>
            <w:pPr/>
            <w:r>
              <w:t xml:space="preserve">Lei 14.133, art. 190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Licitação ou contratação direta com opção expressa pela lei antiga, feita antes da revogação (30/12/2023)</w:t>
            </w:r>
          </w:p>
        </w:tc>
        <w:tc>
          <w:tcPr>
            <w:tcW w:w="3120" w:type="dxa"/>
          </w:tcPr>
          <w:p>
            <w:pPr/>
            <w:r>
              <w:t xml:space="preserve">Lei antiga durante toda a vigência do contrato</w:t>
            </w:r>
          </w:p>
        </w:tc>
        <w:tc>
          <w:tcPr>
            <w:tcW w:w="3120" w:type="dxa"/>
          </w:tcPr>
          <w:p>
            <w:pPr/>
            <w:r>
              <w:t xml:space="preserve">Lei 14.133, arts. 191 e 193, II (redação da LC nº 198/2023)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Edital ou contratação direta sob a Lei 14.133</w:t>
            </w:r>
          </w:p>
        </w:tc>
        <w:tc>
          <w:tcPr>
            <w:tcW w:w="3120" w:type="dxa"/>
          </w:tcPr>
          <w:p>
            <w:pPr/>
            <w:r>
              <w:t xml:space="preserve">Lei 14.133 e Decreto 28.874/2024</w:t>
            </w:r>
          </w:p>
        </w:tc>
        <w:tc>
          <w:tcPr>
            <w:tcW w:w="3120" w:type="dxa"/>
          </w:tcPr>
          <w:p>
            <w:pPr/>
            <w:r>
              <w:t xml:space="preserve">Regra geral</w:t>
            </w:r>
          </w:p>
        </w:tc>
      </w:tr>
    </w:tbl>
    <w:p>
      <w:pPr/>
      <w:r>
        <w:t xml:space="preserve">Três cuidados práticos: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Não misture regimes.</w:t>
      </w:r>
      <w:r>
        <w:t xml:space="preserve"> O art. 191 da Lei 14.133 veda a aplicação combinada da lei nova com as antigas. Não se aplica, por exemplo, o rol de infrações do art. 155 a um contrato da Lei 8.666.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Na dúvida sobre prazo, conceda o maior.</w:t>
      </w:r>
      <w:r>
        <w:t xml:space="preserve"> A Lei 8.666 previa defesa prévia de 5 dias úteis (art. 87, § 2º). Conceder 15 dias úteis não gera nulidade e elimina a alegação de cerceamento de defesa.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Retroatividade da norma mais benéfica é tema controvertido.</w:t>
      </w:r>
      <w:r>
        <w:t xml:space="preserve"> Há doutrina que defende aplicar a contratos antigos as regras mais brandas da Lei 14.133, como o Enunciado nº 111/2024 do Instituto Brasileiro de Direito Administrativo. Não há posição pacificada. Se a defesa invocar a tese, submeta o ponto à Assessoria Jurídica e enfrente-o expressamente na decisão.</w:t>
      </w:r>
    </w:p>
    <w:p>
      <w:pPr/>
      <w:r>
        <w:rPr>
          <w:b/>
        </w:rPr>
        <w:t xml:space="preserve">Prescrição nos contratos da lei antiga.</w:t>
      </w:r>
      <w:r>
        <w:t xml:space="preserve"> As Leis 8.666/1993 e 10.520/2002 não fixam prazo. Até orientação da PGE, conte 5 anos da data do fato, critério mais conservador, por analogia ao Decreto 20.910/1932. Não conte com a interrupção do art. 158, § 4º, I, da Lei 14.133.</w:t>
      </w:r>
    </w:p>
    <w:p>
      <w:pPr>
        <w:pStyle w:val="Heading2"/>
      </w:pPr>
      <w:r>
        <w:t xml:space="preserve">3. Competências e papéis na SUGESP</w:t>
      </w:r>
    </w:p>
    <w:p>
      <w:pPr/>
      <w:r>
        <w:t xml:space="preserve">Na SUGESP, quem fiscaliza noticia e instrui; a GCONV organiza os autos; a comissão ou o condutor designado apura; a Assessoria Jurídica opina; a fiscalização decide advertência e multa até 5%; o Superintendente decide as sanções graves; e a CGE conduz os casos de ato lesivo da Lei Anticorrupção. A SUGESP é órgão autônomo da Governadoria (LC nº 965/2017, art. 89, II, "c").</w:t>
      </w:r>
    </w:p>
    <w:p>
      <w:pPr>
        <w:pStyle w:val="Heading3"/>
      </w:pPr>
      <w:r>
        <w:t xml:space="preserve">3.1 Quem faz o quê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Ator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Papel no processo sancionatório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Base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Fiscal técnico, administrativo ou comissão de fiscalização</w:t>
            </w:r>
          </w:p>
        </w:tc>
        <w:tc>
          <w:tcPr>
            <w:tcW w:w="3120" w:type="dxa"/>
          </w:tcPr>
          <w:p>
            <w:pPr/>
            <w:r>
              <w:t xml:space="preserve">Registra ocorrências, notifica para correção, reúne provas e representa ao gestor. Pode instaurar, intimar e decidir advertência e multa até 5% do valor contratado, assegurada a defesa</w:t>
            </w:r>
          </w:p>
        </w:tc>
        <w:tc>
          <w:tcPr>
            <w:tcW w:w="3120" w:type="dxa"/>
          </w:tcPr>
          <w:p>
            <w:pPr/>
            <w:r>
              <w:t xml:space="preserve">Dec. 28.874, arts. 21, 23, 24 e 185, p.ú.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Fiscal setorial e Núcleo de Fiscalização</w:t>
            </w:r>
          </w:p>
        </w:tc>
        <w:tc>
          <w:tcPr>
            <w:tcW w:w="3120" w:type="dxa"/>
          </w:tcPr>
          <w:p>
            <w:pPr/>
            <w:r>
              <w:t xml:space="preserve">Registram as ocorrências do seu posto ou unidade e comunicam ao fiscal titular, que consolida a matriz</w:t>
            </w:r>
          </w:p>
        </w:tc>
        <w:tc>
          <w:tcPr>
            <w:tcW w:w="3120" w:type="dxa"/>
          </w:tcPr>
          <w:p>
            <w:pPr/>
            <w:r>
              <w:t xml:space="preserve">Dec. 28.874, arts. 2º, IX, e 19, § 2º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Gestor do contrato</w:t>
            </w:r>
          </w:p>
        </w:tc>
        <w:tc>
          <w:tcPr>
            <w:tcW w:w="3120" w:type="dxa"/>
          </w:tcPr>
          <w:p>
            <w:pPr/>
            <w:r>
              <w:t xml:space="preserve">Comunica à autoridade as irregularidades, sugere sanções e adota as medidas preparatórias. Não decide sanção, salvo delegação publicada no DOE</w:t>
            </w:r>
          </w:p>
        </w:tc>
        <w:tc>
          <w:tcPr>
            <w:tcW w:w="3120" w:type="dxa"/>
          </w:tcPr>
          <w:p>
            <w:pPr/>
            <w:r>
              <w:t xml:space="preserve">Dec. 28.874, art. 20, V, VI e XV; Lei 3.830, art. 26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Órgão usuário de contrato corporativo da SUGESP</w:t>
            </w:r>
          </w:p>
        </w:tc>
        <w:tc>
          <w:tcPr>
            <w:tcW w:w="3120" w:type="dxa"/>
          </w:tcPr>
          <w:p>
            <w:pPr/>
            <w:r>
              <w:t xml:space="preserve">Comunica a ocorrência ao gestor da SUGESP em até 5 dias úteis; não instaura</w:t>
            </w:r>
          </w:p>
        </w:tc>
        <w:tc>
          <w:tcPr>
            <w:tcW w:w="3120" w:type="dxa"/>
          </w:tcPr>
          <w:p>
            <w:pPr/>
            <w:r>
              <w:t xml:space="preserve">LC 965, art. 113, I; seção 3.3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Agente de contratação, pregoeiro (SUPEL) ou GCOM</w:t>
            </w:r>
          </w:p>
        </w:tc>
        <w:tc>
          <w:tcPr>
            <w:tcW w:w="3120" w:type="dxa"/>
          </w:tcPr>
          <w:p>
            <w:pPr/>
            <w:r>
              <w:t xml:space="preserve">Registra em ata e envia à GCONV as infrações da fase de licitação e das contratações diretas; faz diligências sobre documentos. Não instrui nem julga</w:t>
            </w:r>
          </w:p>
        </w:tc>
        <w:tc>
          <w:tcPr>
            <w:tcW w:w="3120" w:type="dxa"/>
          </w:tcPr>
          <w:p>
            <w:pPr/>
            <w:r>
              <w:t xml:space="preserve">Lei 14.133, arts. 64 e 169, § 3º, II; Dec. 26.905, art. 16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GCONV</w:t>
            </w:r>
          </w:p>
        </w:tc>
        <w:tc>
          <w:tcPr>
            <w:tcW w:w="3120" w:type="dxa"/>
          </w:tcPr>
          <w:p>
            <w:pPr/>
            <w:r>
              <w:t xml:space="preserve">Autua e instrui os casos, controla prazos e intimações, notifica o garantidor, orienta fiscais e alimenta sistemas</w:t>
            </w:r>
          </w:p>
        </w:tc>
        <w:tc>
          <w:tcPr>
            <w:tcW w:w="3120" w:type="dxa"/>
          </w:tcPr>
          <w:p>
            <w:pPr/>
            <w:r>
              <w:t xml:space="preserve">Dec. 26.905, art. 17, p.ú., II, IV, V e VI; Lei 14.133, art. 137, § 4º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DIREX e ASTEC</w:t>
            </w:r>
          </w:p>
        </w:tc>
        <w:tc>
          <w:tcPr>
            <w:tcW w:w="3120" w:type="dxa"/>
          </w:tcPr>
          <w:p>
            <w:pPr/>
            <w:r>
              <w:t xml:space="preserve">Apoio sob demanda nos casos duvidosos (enquadramento controverso, conversão de rito, indício de ato lesivo, prescrição próxima), minutas de atos e padronização. A ASTEC não consta do Regimento de 2022 e atua conforme ato de designação</w:t>
            </w:r>
          </w:p>
        </w:tc>
        <w:tc>
          <w:tcPr>
            <w:tcW w:w="3120" w:type="dxa"/>
          </w:tcPr>
          <w:p>
            <w:pPr/>
            <w:r>
              <w:t xml:space="preserve">Dec. 26.905, art. 6º, V, VIII e IX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Comissão processante</w:t>
            </w:r>
          </w:p>
        </w:tc>
        <w:tc>
          <w:tcPr>
            <w:tcW w:w="3120" w:type="dxa"/>
          </w:tcPr>
          <w:p>
            <w:pPr/>
            <w:r>
              <w:t xml:space="preserve">Conduz o processo de impedimento e inidoneidade: intima, decide sobre provas, instrui e relata</w:t>
            </w:r>
          </w:p>
        </w:tc>
        <w:tc>
          <w:tcPr>
            <w:tcW w:w="3120" w:type="dxa"/>
          </w:tcPr>
          <w:p>
            <w:pPr/>
            <w:r>
              <w:t xml:space="preserve">Lei 14.133, art. 158; Dec. 28.874, art. 186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Assessoria Jurídica (unidade setorial da PGE)</w:t>
            </w:r>
          </w:p>
        </w:tc>
        <w:tc>
          <w:tcPr>
            <w:tcW w:w="3120" w:type="dxa"/>
          </w:tcPr>
          <w:p>
            <w:pPr/>
            <w:r>
              <w:t xml:space="preserve">Análise obrigatória na inidoneidade, desconsideração da personalidade jurídica e reabilitação; apoio nas decisões de recurso</w:t>
            </w:r>
          </w:p>
        </w:tc>
        <w:tc>
          <w:tcPr>
            <w:tcW w:w="3120" w:type="dxa"/>
          </w:tcPr>
          <w:p>
            <w:pPr/>
            <w:r>
              <w:t xml:space="preserve">Dec. 26.905, art. 10; Lei 14.133, arts. 156, § 6º, 160, 163, V, e 168, p.ú.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Controle Interno</w:t>
            </w:r>
          </w:p>
        </w:tc>
        <w:tc>
          <w:tcPr>
            <w:tcW w:w="3120" w:type="dxa"/>
          </w:tcPr>
          <w:p>
            <w:pPr/>
            <w:r>
              <w:t xml:space="preserve">Segunda linha de defesa: orienta, acompanha a conformidade e reporta à CGE</w:t>
            </w:r>
          </w:p>
        </w:tc>
        <w:tc>
          <w:tcPr>
            <w:tcW w:w="3120" w:type="dxa"/>
          </w:tcPr>
          <w:p>
            <w:pPr/>
            <w:r>
              <w:t xml:space="preserve">Dec. 26.905, art. 9º; Lei 14.133, art. 169, II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CAF, GFIN e GCONT</w:t>
            </w:r>
          </w:p>
        </w:tc>
        <w:tc>
          <w:tcPr>
            <w:tcW w:w="3120" w:type="dxa"/>
          </w:tcPr>
          <w:p>
            <w:pPr/>
            <w:r>
              <w:t xml:space="preserve">Desconto em pagamento ou garantia, cobrança, registro contábil e remessa à PGE para dívida ativa</w:t>
            </w:r>
          </w:p>
        </w:tc>
        <w:tc>
          <w:tcPr>
            <w:tcW w:w="3120" w:type="dxa"/>
          </w:tcPr>
          <w:p>
            <w:pPr/>
            <w:r>
              <w:t xml:space="preserve">Dec. 26.905, arts. 12, 13 e 15; Lei 14.133, art. 156, § 8º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Superintendente</w:t>
            </w:r>
          </w:p>
        </w:tc>
        <w:tc>
          <w:tcPr>
            <w:tcW w:w="3120" w:type="dxa"/>
          </w:tcPr>
          <w:p>
            <w:pPr/>
            <w:r>
              <w:t xml:space="preserve">Instaura o processo com comissão e designa a comissão; decide multa acima de 5%, impedimento, infrações de licitante e os casos do rito simplificado que a fiscalização não decidir; forma o juízo de reprovabilidade na inidoneidade; julga recursos contra decisões da fiscalização e de delegados; remete à CGE os casos de ato lesivo</w:t>
            </w:r>
          </w:p>
        </w:tc>
        <w:tc>
          <w:tcPr>
            <w:tcW w:w="3120" w:type="dxa"/>
          </w:tcPr>
          <w:p>
            <w:pPr/>
            <w:r>
              <w:t xml:space="preserve">Dec. 28.874, arts. 185 e 186, I, e p.ú.; Lei 14.133, art. 166, p.ú.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Autoridade com status de Secretário de Estado</w:t>
            </w:r>
          </w:p>
        </w:tc>
        <w:tc>
          <w:tcPr>
            <w:tcW w:w="3120" w:type="dxa"/>
          </w:tcPr>
          <w:p>
            <w:pPr/>
            <w:r>
              <w:t xml:space="preserve">Decide a declaração de inidoneidade quando o julgador não detém esse status, as sanções cumuladas no mesmo caso, o pedido de reconsideração e a reabilitação</w:t>
            </w:r>
          </w:p>
        </w:tc>
        <w:tc>
          <w:tcPr>
            <w:tcW w:w="3120" w:type="dxa"/>
          </w:tcPr>
          <w:p>
            <w:pPr/>
            <w:r>
              <w:t xml:space="preserve">Lei 14.133, art. 156, § 6º, I; Dec. 28.874, art. 186, p.ú., I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CGE</w:t>
            </w:r>
          </w:p>
        </w:tc>
        <w:tc>
          <w:tcPr>
            <w:tcW w:w="3120" w:type="dxa"/>
          </w:tcPr>
          <w:p>
            <w:pPr/>
            <w:r>
              <w:t xml:space="preserve">Conduz o PAR quando o fato também é ato lesivo da Lei 12.846; mantém o cadastro estadual e zela por Ceis e Cnep</w:t>
            </w:r>
          </w:p>
        </w:tc>
        <w:tc>
          <w:tcPr>
            <w:tcW w:w="3120" w:type="dxa"/>
          </w:tcPr>
          <w:p>
            <w:pPr/>
            <w:r>
              <w:t xml:space="preserve">Dec. 28.874, arts. 186, II, e p.ú., III, e 187; Dec. 23.907/2019, art. 8º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PGE</w:t>
            </w:r>
          </w:p>
        </w:tc>
        <w:tc>
          <w:tcPr>
            <w:tcW w:w="3120" w:type="dxa"/>
          </w:tcPr>
          <w:p>
            <w:pPr/>
            <w:r>
              <w:t xml:space="preserve">Analisa a declaração de inidoneidade; inscreve em dívida ativa e cobra a multa não paga</w:t>
            </w:r>
          </w:p>
        </w:tc>
        <w:tc>
          <w:tcPr>
            <w:tcW w:w="3120" w:type="dxa"/>
          </w:tcPr>
          <w:p>
            <w:pPr/>
            <w:r>
              <w:t xml:space="preserve">Dec. 28.874, art. 186, p.ú., II; Lei 14.133, art. 156, § 8º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CEAP da SUGESP</w:t>
            </w:r>
          </w:p>
        </w:tc>
        <w:tc>
          <w:tcPr>
            <w:tcW w:w="3120" w:type="dxa"/>
          </w:tcPr>
          <w:p>
            <w:pPr/>
            <w:r>
              <w:t xml:space="preserve">Não atua contra empresas. Apura conduta de servidor; recebe cópia quando o mesmo fato envolver agente público</w:t>
            </w:r>
          </w:p>
        </w:tc>
        <w:tc>
          <w:tcPr>
            <w:tcW w:w="3120" w:type="dxa"/>
          </w:tcPr>
          <w:p>
            <w:pPr/>
            <w:r>
              <w:t xml:space="preserve">Portaria nº 162/2024</w:t>
            </w:r>
          </w:p>
        </w:tc>
      </w:tr>
    </w:tbl>
    <w:p>
      <w:pPr>
        <w:pStyle w:val="Heading3"/>
      </w:pPr>
      <w:r>
        <w:t xml:space="preserve">3.2 Pontos de atenção sobre competência</w:t>
      </w:r>
    </w:p>
    <w:p>
      <w:pPr/>
      <w:r>
        <w:rPr>
          <w:b/>
        </w:rPr>
        <w:t xml:space="preserve">Declaração de inidoneidade.</w:t>
      </w:r>
      <w:r>
        <w:t xml:space="preserve"> A Lei 14.133 reserva essa sanção, no Poder Executivo estadual, a secretário de Estado (art. 156, § 6º, I). A LC nº 965/2017 confere status de Secretário apenas ao Procurador-Geral e ao Controlador-Geral (art. 171, § 1º, na redação da LC nº 1.180/2023). Dirigir órgão autônomo, ou receber o mesmo símbolo remuneratório dos Secretários, não equivale a status, que a lei confere de forma expressa. Por isso o Superintendente não aplica a inidoneidade: se a aplicasse e essa leitura estivesse errada, a sanção seria nula. Formado o juízo de reprovabilidade, ele remete os autos à autoridade competente, na forma do art. 186, parágrafo único, I, do Decreto 28.874/2024.</w:t>
      </w:r>
    </w:p>
    <w:p>
      <w:pPr/>
      <w:r>
        <w:rPr>
          <w:b/>
        </w:rPr>
        <w:t xml:space="preserve">Rito da inidoneidade.</w:t>
      </w:r>
      <w:r>
        <w:t xml:space="preserve"> Concluído o relatório da comissão, ouve-se a PGE (Dec. 28.874, art. 186, p.ú., II). Em seguida, o Superintendente decide, em ato motivado, se forma juízo de reprovabilidade para a inidoneidade (modelo 21.22). Se formar, remete os autos à autoridade competente (Lei 14.133, art. 156, § 6º, I), que decide todas as sanções do caso, inclusive a multa cumulada. Se não formar, ele próprio aplica a sanção cabível. Pedido de reconsideração e reabilitação vão à autoridade que aplicou a sanção, e a competência é indelegável. Recomenda-se parecer referencial da PGE antes do primeiro caso; a solução definitiva é alterar a LC 965, como a LC 1.180/2023 fez para o Controlador-Geral.</w:t>
      </w:r>
    </w:p>
    <w:p>
      <w:pPr/>
      <w:r>
        <w:rPr>
          <w:b/>
        </w:rPr>
        <w:t xml:space="preserve">Instância recursal.</w:t>
      </w:r>
      <w:r>
        <w:t xml:space="preserve"> Contra decisão da fiscalização ou de servidor delegado, o recurso é dirigido a quem decidiu, que pode reconsiderar em 5 dias úteis; se não reconsiderar, sobe ao Superintendente (Lei 14.133, art. 166, p.ú.). Contra decisão originária do Superintendente (multa acima de 5% e impedimento), a autoridade superior é a que se refere o art. 166, parágrafo único, da Lei 14.133. Como a decisão de recurso é indelegável (Lei 3.830, art. 25, II), esse fluxo deve ser fixado por ato da própria autoridade superior, ouvida a PGE, e não por portaria da SUGESP. Até lá, a SUGESP encaminha os autos instruídos, com minuta e parecer, logo após o juízo de retratação.</w:t>
      </w:r>
    </w:p>
    <w:p>
      <w:pPr/>
      <w:r>
        <w:rPr>
          <w:b/>
        </w:rPr>
        <w:t xml:space="preserve">Quem decide no rito simplificado.</w:t>
      </w:r>
      <w:r>
        <w:t xml:space="preserve"> O fiscal ou a comissão de fiscalização designados para o contrato podem aplicar advertência e multa de até 5% do valor contratado (Dec. 28.874, art. 185, p.ú.). Nesses casos, são também a "autoridade competente" que instaura e intima (art. 20, VI): o despacho de abertura é assinado por quem vai decidir. Havendo equipe de fiscalização, decide quem não subscreveu a representação. O gestor e qualquer outro servidor só decidem com delegação do Superintendente publicada no DOE, com matérias, limites e duração (Lei 3.830, art. 26). Se a fiscalização não for decidir, os autos sobem ao Superintendente ou ao delegado.</w:t>
      </w:r>
    </w:p>
    <w:p>
      <w:pPr/>
      <w:r>
        <w:rPr>
          <w:b/>
        </w:rPr>
        <w:t xml:space="preserve">Arquivar.</w:t>
      </w:r>
      <w:r>
        <w:t xml:space="preserve"> Cabe a quem seria competente para aplicar a sanção mais grave cogitada. O fiscal pode arquivar o que ele mesmo poderia punir; nos demais casos, apenas propõe. A inidoneidade é competência exclusiva e indelegável; para multa acima de 5% e impedimento, não delegue.</w:t>
      </w:r>
    </w:p>
    <w:p>
      <w:pPr>
        <w:pStyle w:val="Heading3"/>
      </w:pPr>
      <w:r>
        <w:t xml:space="preserve">3.3 Interface com a SUPEL e com os órgãos usuários</w:t>
      </w:r>
    </w:p>
    <w:p>
      <w:pPr/>
      <w:r>
        <w:rPr>
          <w:b/>
        </w:rPr>
        <w:t xml:space="preserve">Licitações da SUPEL.</w:t>
      </w:r>
      <w:r>
        <w:t xml:space="preserve"> Quando a licitação for conduzida pela Superintendência Estadual de Compras e Licitações (SUPEL) em favor da SUGESP, o agente de contratação registra a infração em ata e envia à GCONV, em até 5 dias úteis, a ata, o edital e as mensagens do sistema. Salvo regra diversa no edital, apura a SUGESP, órgão responsável pela contratação (Dec. 28.874, art. 186, I). O roteiro está na seção 9.5.</w:t>
      </w:r>
    </w:p>
    <w:p>
      <w:pPr/>
      <w:r>
        <w:rPr>
          <w:b/>
        </w:rPr>
        <w:t xml:space="preserve">Contratos corporativos.</w:t>
      </w:r>
      <w:r>
        <w:t xml:space="preserve"> A SUGESP é órgão central de logística e gere contratos usados por outros órgãos, como frota, abastecimento, energia, água e telefonia (LC 965, art. 113). Quando o objeto é executado em outro órgão, o fiscal setorial registra a ocorrência e comunica o gestor da SUGESP em até 5 dias úteis. A SUGESP, como contratante, instaura e decide. A ciência do fiscal setorial é ciência da Administração para fins de prescrição, e os termos de designação dos fiscais setoriais devem prever esse fluxo.</w:t>
      </w:r>
    </w:p>
    <w:p>
      <w:pPr>
        <w:pStyle w:val="Heading2"/>
      </w:pPr>
      <w:r>
        <w:t xml:space="preserve">4. Princípios e garantias</w:t>
      </w:r>
    </w:p>
    <w:p>
      <w:pPr/>
      <w:r>
        <w:t xml:space="preserve">O processo sancionatório é direito administrativo sancionador: a Administração pune, e por isso deve garantias semelhantes às do processo penal, adaptadas à via administrativa. A falha em qualquer delas é a causa mais comum de anulação judicial de sanções.</w:t>
      </w:r>
    </w:p>
    <w:p>
      <w:pPr>
        <w:pStyle w:val="Heading3"/>
      </w:pPr>
      <w:r>
        <w:t xml:space="preserve">4.1 O que cada princípio exige na prática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Princípio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O que exige no processo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Base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Devido processo, contraditório e ampla defesa</w:t>
            </w:r>
          </w:p>
        </w:tc>
        <w:tc>
          <w:tcPr>
            <w:tcW w:w="3120" w:type="dxa"/>
          </w:tcPr>
          <w:p>
            <w:pPr/>
            <w:r>
              <w:t xml:space="preserve">Intimação com fatos, provas e sanções em tese; acesso integral aos autos; prazo; produção de provas; alegações finais; recurso</w:t>
            </w:r>
          </w:p>
        </w:tc>
        <w:tc>
          <w:tcPr>
            <w:tcW w:w="3120" w:type="dxa"/>
          </w:tcPr>
          <w:p>
            <w:pPr/>
            <w:r>
              <w:t xml:space="preserve">CF, art. 5º, LIV e LV; Dec. 28.874, art. 184, § 1º; Lei 3.830, arts. 6º, IX, e 8º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Legalidade e tipicidade</w:t>
            </w:r>
          </w:p>
        </w:tc>
        <w:tc>
          <w:tcPr>
            <w:tcW w:w="3120" w:type="dxa"/>
          </w:tcPr>
          <w:p>
            <w:pPr/>
            <w:r>
              <w:t xml:space="preserve">A conduta precisa caber em um inciso do art. 155 e a sanção precisa ser a vinculada a esse inciso</w:t>
            </w:r>
          </w:p>
        </w:tc>
        <w:tc>
          <w:tcPr>
            <w:tcW w:w="3120" w:type="dxa"/>
          </w:tcPr>
          <w:p>
            <w:pPr/>
            <w:r>
              <w:t xml:space="preserve">Lei 3.830, art. 7º, II; Lei 14.133, arts. 155 e 156, §§ 2º a 5º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Culpabilidade</w:t>
            </w:r>
          </w:p>
        </w:tc>
        <w:tc>
          <w:tcPr>
            <w:tcW w:w="3120" w:type="dxa"/>
          </w:tcPr>
          <w:p>
            <w:pPr/>
            <w:r>
              <w:t xml:space="preserve">Não há sanção sem ao menos culpa. Caso fortuito, força maior, fato da Administração e fato superveniente justificado afastam a infração</w:t>
            </w:r>
          </w:p>
        </w:tc>
        <w:tc>
          <w:tcPr>
            <w:tcW w:w="3120" w:type="dxa"/>
          </w:tcPr>
          <w:p>
            <w:pPr/>
            <w:r>
              <w:t xml:space="preserve">Lei 14.133, art. 155, V e VII ("sem motivo justificado")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Proporcionalidade e razoabilidade</w:t>
            </w:r>
          </w:p>
        </w:tc>
        <w:tc>
          <w:tcPr>
            <w:tcW w:w="3120" w:type="dxa"/>
          </w:tcPr>
          <w:p>
            <w:pPr/>
            <w:r>
              <w:t xml:space="preserve">Medida adequada, necessária e na intensidade estritamente suficiente</w:t>
            </w:r>
          </w:p>
        </w:tc>
        <w:tc>
          <w:tcPr>
            <w:tcW w:w="3120" w:type="dxa"/>
          </w:tcPr>
          <w:p>
            <w:pPr/>
            <w:r>
              <w:t xml:space="preserve">Lei 3.830, arts. 5º e 6º, V; Lei 14.133, art. 5º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Motivação</w:t>
            </w:r>
          </w:p>
        </w:tc>
        <w:tc>
          <w:tcPr>
            <w:tcW w:w="3120" w:type="dxa"/>
          </w:tcPr>
          <w:p>
            <w:pPr/>
            <w:r>
              <w:t xml:space="preserve">Fatos, provas, norma, dosimetria e resposta a cada argumento da defesa; consequências práticas da decisão</w:t>
            </w:r>
          </w:p>
        </w:tc>
        <w:tc>
          <w:tcPr>
            <w:tcW w:w="3120" w:type="dxa"/>
          </w:tcPr>
          <w:p>
            <w:pPr/>
            <w:r>
              <w:t xml:space="preserve">Lei 3.830, arts. 12 e 13, II; LINDB, art. 20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Verdade material e oficialidade</w:t>
            </w:r>
          </w:p>
        </w:tc>
        <w:tc>
          <w:tcPr>
            <w:tcW w:w="3120" w:type="dxa"/>
          </w:tcPr>
          <w:p>
            <w:pPr/>
            <w:r>
              <w:t xml:space="preserve">A Administração busca a prova de ofício; a ausência de defesa não torna verdadeiros os fatos</w:t>
            </w:r>
          </w:p>
        </w:tc>
        <w:tc>
          <w:tcPr>
            <w:tcW w:w="3120" w:type="dxa"/>
          </w:tcPr>
          <w:p>
            <w:pPr/>
            <w:r>
              <w:t xml:space="preserve">Lei 3.830, arts. 45 e 47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Non bis in idem</w:t>
            </w:r>
          </w:p>
        </w:tc>
        <w:tc>
          <w:tcPr>
            <w:tcW w:w="3120" w:type="dxa"/>
          </w:tcPr>
          <w:p>
            <w:pPr/>
            <w:r>
              <w:t xml:space="preserve">Um fato, uma punição do mesmo tipo. Cumular multa com outra sanção, quando a lei permite, não é dupla punição</w:t>
            </w:r>
          </w:p>
        </w:tc>
        <w:tc>
          <w:tcPr>
            <w:tcW w:w="3120" w:type="dxa"/>
          </w:tcPr>
          <w:p>
            <w:pPr/>
            <w:r>
              <w:t xml:space="preserve">Lei 14.133, art. 156, § 7º; LINDB, art. 22, § 3º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Imparcialidade e segregação de funções</w:t>
            </w:r>
          </w:p>
        </w:tc>
        <w:tc>
          <w:tcPr>
            <w:tcW w:w="3120" w:type="dxa"/>
          </w:tcPr>
          <w:p>
            <w:pPr/>
            <w:r>
              <w:t xml:space="preserve">Quem atuou no fato ou produziu a acusação não julga; impedimento e suspeição devem ser declarados</w:t>
            </w:r>
          </w:p>
        </w:tc>
        <w:tc>
          <w:tcPr>
            <w:tcW w:w="3120" w:type="dxa"/>
          </w:tcPr>
          <w:p>
            <w:pPr/>
            <w:r>
              <w:t xml:space="preserve">Lei 14.133, arts. 5º e 7º, § 1º; Lei 3.830, arts. 37 a 39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Segurança jurídica</w:t>
            </w:r>
          </w:p>
        </w:tc>
        <w:tc>
          <w:tcPr>
            <w:tcW w:w="3120" w:type="dxa"/>
          </w:tcPr>
          <w:p>
            <w:pPr/>
            <w:r>
              <w:t xml:space="preserve">Considerar obstáculos reais, antecedentes e sanções já aplicadas pelo mesmo fato; não aplicar retroativamente nova interpretação</w:t>
            </w:r>
          </w:p>
        </w:tc>
        <w:tc>
          <w:tcPr>
            <w:tcW w:w="3120" w:type="dxa"/>
          </w:tcPr>
          <w:p>
            <w:pPr/>
            <w:r>
              <w:t xml:space="preserve">LINDB, arts. 22 e 24; Lei 3.830, art. 6º, XII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Razoável duração</w:t>
            </w:r>
          </w:p>
        </w:tc>
        <w:tc>
          <w:tcPr>
            <w:tcW w:w="3120" w:type="dxa"/>
          </w:tcPr>
          <w:p>
            <w:pPr/>
            <w:r>
              <w:t xml:space="preserve">Cumprir prazos; a demora pode gerar prescrição e responsabilizar o agente omisso</w:t>
            </w:r>
          </w:p>
        </w:tc>
        <w:tc>
          <w:tcPr>
            <w:tcW w:w="3120" w:type="dxa"/>
          </w:tcPr>
          <w:p>
            <w:pPr/>
            <w:r>
              <w:t xml:space="preserve">CF, art. 5º, LXXVIII; Lei 3.830, art. 83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Publicidade com proteção de dados</w:t>
            </w:r>
          </w:p>
        </w:tc>
        <w:tc>
          <w:tcPr>
            <w:tcW w:w="3120" w:type="dxa"/>
          </w:tcPr>
          <w:p>
            <w:pPr/>
            <w:r>
              <w:t xml:space="preserve">Publicar extrato e registrar sanção, sem expor dados pessoais desnecessários de sócios, empregados e testemunhas</w:t>
            </w:r>
          </w:p>
        </w:tc>
        <w:tc>
          <w:tcPr>
            <w:tcW w:w="3120" w:type="dxa"/>
          </w:tcPr>
          <w:p>
            <w:pPr/>
            <w:r>
              <w:t xml:space="preserve">Lei 14.133, art. 161; LGPD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Vedação de agravamento no recurso</w:t>
            </w:r>
          </w:p>
        </w:tc>
        <w:tc>
          <w:tcPr>
            <w:tcW w:w="3120" w:type="dxa"/>
          </w:tcPr>
          <w:p>
            <w:pPr/>
            <w:r>
              <w:t xml:space="preserve">O recurso não pode piorar a situação do recorrente, salvo má-fé; a revisão também não agrava</w:t>
            </w:r>
          </w:p>
        </w:tc>
        <w:tc>
          <w:tcPr>
            <w:tcW w:w="3120" w:type="dxa"/>
          </w:tcPr>
          <w:p>
            <w:pPr/>
            <w:r>
              <w:t xml:space="preserve">Lei 3.830, arts. 79 e 82</w:t>
            </w:r>
          </w:p>
        </w:tc>
      </w:tr>
    </w:tbl>
    <w:p>
      <w:pPr>
        <w:pStyle w:val="Heading3"/>
      </w:pPr>
      <w:r>
        <w:t xml:space="preserve">4.2 Apurar é dever, não opção</w:t>
      </w:r>
    </w:p>
    <w:p>
      <w:pPr/>
      <w:r>
        <w:t xml:space="preserve">A competência é irrenunciável (Lei 3.830, arts. 6º, I, e 23). Constatada irregularidade com dano, os agentes das linhas de defesa devem adotar as providências para apurar as infrações (Lei 14.133, art. 169, § 3º, II). O que é discricionário é a dosimetria, não a apuração. O TCU exige a autuação ainda que não haja prejuízo ao erário (Acórdão 316/2024-Plenário). Arquivar sem instaurar é possível, mas apenas por decisão motivada que demonstre ausência de infração, de autoria ou de culpa, ou justificativa aceita. A jurisprudência dos Tribunais de Contas sobre a omissão está nas seções 18 e 19.</w:t>
      </w:r>
    </w:p>
    <w:p>
      <w:pPr>
        <w:pStyle w:val="Heading3"/>
      </w:pPr>
      <w:r>
        <w:t xml:space="preserve">4.3 Não confunda sanção com outras medidas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  <w:shd w:val="clear" w:color="auto" w:fill="F2F2F2"/>
          </w:tcPr>
          <w:p>
            <w:pPr/>
            <w:r>
              <w:t xml:space="preserve">Medida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Natureza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Exige processo sancionatório?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Base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Notificação para corrigir falha</w:t>
            </w:r>
          </w:p>
        </w:tc>
        <w:tc>
          <w:tcPr>
            <w:tcW w:w="2340" w:type="dxa"/>
          </w:tcPr>
          <w:p>
            <w:pPr/>
            <w:r>
              <w:t xml:space="preserve">Gestão do contrato</w:t>
            </w:r>
          </w:p>
        </w:tc>
        <w:tc>
          <w:tcPr>
            <w:tcW w:w="2340" w:type="dxa"/>
          </w:tcPr>
          <w:p>
            <w:pPr/>
            <w:r>
              <w:t xml:space="preserve">Não. Mas o descumprimento da notificação é prova para o processo</w:t>
            </w:r>
          </w:p>
        </w:tc>
        <w:tc>
          <w:tcPr>
            <w:tcW w:w="2340" w:type="dxa"/>
          </w:tcPr>
          <w:p>
            <w:pPr/>
            <w:r>
              <w:t xml:space="preserve">Dec. 28.874, art. 23, III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Glosa ou desconto por serviço não prestado</w:t>
            </w:r>
          </w:p>
        </w:tc>
        <w:tc>
          <w:tcPr>
            <w:tcW w:w="2340" w:type="dxa"/>
          </w:tcPr>
          <w:p>
            <w:pPr/>
            <w:r>
              <w:t xml:space="preserve">Recomposição financeira, não sanção</w:t>
            </w:r>
          </w:p>
        </w:tc>
        <w:tc>
          <w:tcPr>
            <w:tcW w:w="2340" w:type="dxa"/>
          </w:tcPr>
          <w:p>
            <w:pPr/>
            <w:r>
              <w:t xml:space="preserve">Não, mas exige memória de cálculo própria, intimação e prazo para manifestação antes do desconto</w:t>
            </w:r>
          </w:p>
        </w:tc>
        <w:tc>
          <w:tcPr>
            <w:tcW w:w="2340" w:type="dxa"/>
          </w:tcPr>
          <w:p>
            <w:pPr/>
            <w:r>
              <w:t xml:space="preserve">Lei 3.830, arts. 8º, III, e 46; Lei 14.133, art. 156, § 9º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Ajuste de pagamento pelo instrumento de medição de resultado (IMR)</w:t>
            </w:r>
          </w:p>
        </w:tc>
        <w:tc>
          <w:tcPr>
            <w:tcW w:w="2340" w:type="dxa"/>
          </w:tcPr>
          <w:p>
            <w:pPr/>
            <w:r>
              <w:t xml:space="preserve">Adequação do pagamento ao resultado, não sanção</w:t>
            </w:r>
          </w:p>
        </w:tc>
        <w:tc>
          <w:tcPr>
            <w:tcW w:w="2340" w:type="dxa"/>
          </w:tcPr>
          <w:p>
            <w:pPr/>
            <w:r>
              <w:t xml:space="preserve">Não; aplica-se na medição, com memória. Não impede a multa se a falha também for infração, mas o mesmo fato não pode ser usado duas vezes sem previsão contratual</w:t>
            </w:r>
          </w:p>
        </w:tc>
        <w:tc>
          <w:tcPr>
            <w:tcW w:w="2340" w:type="dxa"/>
          </w:tcPr>
          <w:p>
            <w:pPr/>
            <w:r>
              <w:t xml:space="preserve">Edital e contrato; Dec. 28.874, art. 68, IV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Multa de mora</w:t>
            </w:r>
          </w:p>
        </w:tc>
        <w:tc>
          <w:tcPr>
            <w:tcW w:w="2340" w:type="dxa"/>
          </w:tcPr>
          <w:p>
            <w:pPr/>
            <w:r>
              <w:t xml:space="preserve">Sanção (espécie de multa)</w:t>
            </w:r>
          </w:p>
        </w:tc>
        <w:tc>
          <w:tcPr>
            <w:tcW w:w="2340" w:type="dxa"/>
          </w:tcPr>
          <w:p>
            <w:pPr/>
            <w:r>
              <w:t xml:space="preserve">Sim, com defesa de 15 dias úteis</w:t>
            </w:r>
          </w:p>
        </w:tc>
        <w:tc>
          <w:tcPr>
            <w:tcW w:w="2340" w:type="dxa"/>
          </w:tcPr>
          <w:p>
            <w:pPr/>
            <w:r>
              <w:t xml:space="preserve">Lei 14.133, arts. 156, II, 157 e 162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Extinção unilateral do contrato</w:t>
            </w:r>
          </w:p>
        </w:tc>
        <w:tc>
          <w:tcPr>
            <w:tcW w:w="2340" w:type="dxa"/>
          </w:tcPr>
          <w:p>
            <w:pPr/>
            <w:r>
              <w:t xml:space="preserve">Prerrogativa contratual, não sanção</w:t>
            </w:r>
          </w:p>
        </w:tc>
        <w:tc>
          <w:tcPr>
            <w:tcW w:w="2340" w:type="dxa"/>
          </w:tcPr>
          <w:p>
            <w:pPr/>
            <w:r>
              <w:t xml:space="preserve">Exige contraditório e ampla defesa próprios; recurso de 3 dias úteis (seção 10.5)</w:t>
            </w:r>
          </w:p>
        </w:tc>
        <w:tc>
          <w:tcPr>
            <w:tcW w:w="2340" w:type="dxa"/>
          </w:tcPr>
          <w:p>
            <w:pPr/>
            <w:r>
              <w:t xml:space="preserve">Lei 14.133, arts. 137, caput, e 165, I, "e"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Execução de garantia e retenção de créditos</w:t>
            </w:r>
          </w:p>
        </w:tc>
        <w:tc>
          <w:tcPr>
            <w:tcW w:w="2340" w:type="dxa"/>
          </w:tcPr>
          <w:p>
            <w:pPr/>
            <w:r>
              <w:t xml:space="preserve">Consequência da extinção, até o limite de prejuízos e multas aplicadas</w:t>
            </w:r>
          </w:p>
        </w:tc>
        <w:tc>
          <w:tcPr>
            <w:tcW w:w="2340" w:type="dxa"/>
          </w:tcPr>
          <w:p>
            <w:pPr/>
            <w:r>
              <w:t xml:space="preserve">Depende de decisão motivada</w:t>
            </w:r>
          </w:p>
        </w:tc>
        <w:tc>
          <w:tcPr>
            <w:tcW w:w="2340" w:type="dxa"/>
          </w:tcPr>
          <w:p>
            <w:pPr/>
            <w:r>
              <w:t xml:space="preserve">Lei 14.133, art. 139, III e IV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Advertência, multa, impedimento e inidoneidade</w:t>
            </w:r>
          </w:p>
        </w:tc>
        <w:tc>
          <w:tcPr>
            <w:tcW w:w="2340" w:type="dxa"/>
          </w:tcPr>
          <w:p>
            <w:pPr/>
            <w:r>
              <w:t xml:space="preserve">Sanções</w:t>
            </w:r>
          </w:p>
        </w:tc>
        <w:tc>
          <w:tcPr>
            <w:tcW w:w="2340" w:type="dxa"/>
          </w:tcPr>
          <w:p>
            <w:pPr/>
            <w:r>
              <w:t xml:space="preserve">Sim</w:t>
            </w:r>
          </w:p>
        </w:tc>
        <w:tc>
          <w:tcPr>
            <w:tcW w:w="2340" w:type="dxa"/>
          </w:tcPr>
          <w:p>
            <w:pPr/>
            <w:r>
              <w:t xml:space="preserve">Lei 14.133, art. 156</w:t>
            </w:r>
          </w:p>
        </w:tc>
      </w:tr>
    </w:tbl>
    <w:p>
      <w:pPr/>
      <w:r>
        <w:t xml:space="preserve">A extinção do contrato e o processo sancionatório podem correr no mesmo processo SEI, desde que cada decisão tenha seu fundamento, seu prazo de defesa e seu recurso. Extinguir o contrato não dispensa apurar a infração que lhe deu causa.</w:t>
      </w:r>
    </w:p>
    <w:p>
      <w:pPr>
        <w:pStyle w:val="Heading2"/>
      </w:pPr>
      <w:r>
        <w:t xml:space="preserve">5. Infrações administrativas (art. 155)</w:t>
      </w:r>
    </w:p>
    <w:p>
      <w:pPr/>
      <w:r>
        <w:t xml:space="preserve">O art. 155 da Lei 14.133 lista doze infrações, e cada uma admite apenas as sanções que o art. 156 vincula a ela. Enquadrar corretamente é o primeiro ato de defesa da própria decisão: um inciso errado leva a uma sanção ilegal.</w:t>
      </w:r>
    </w:p>
    <w:p>
      <w:pPr>
        <w:pStyle w:val="Heading3"/>
      </w:pPr>
      <w:r>
        <w:t xml:space="preserve">5.1 Matriz de vinculação infração × sanção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  <w:shd w:val="clear" w:color="auto" w:fill="F2F2F2"/>
          </w:tcPr>
          <w:p>
            <w:pPr/>
            <w:r>
              <w:t xml:space="preserve">Inciso do art. 155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Advertência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Multa (0,5% a 30%)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Impedimento (até 3 anos)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Inidoneidade (3 a 6 anos)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I — inexecução parcial</w:t>
            </w:r>
          </w:p>
        </w:tc>
        <w:tc>
          <w:tcPr>
            <w:tcW w:w="1872" w:type="dxa"/>
          </w:tcPr>
          <w:p>
            <w:pPr/>
            <w:r>
              <w:t xml:space="preserve">Sim, se não couber pena mais grave</w:t>
            </w:r>
          </w:p>
        </w:tc>
        <w:tc>
          <w:tcPr>
            <w:tcW w:w="1872" w:type="dxa"/>
          </w:tcPr>
          <w:p>
            <w:pPr/>
            <w:r>
              <w:t xml:space="preserve">Sim</w:t>
            </w:r>
          </w:p>
        </w:tc>
        <w:tc>
          <w:tcPr>
            <w:tcW w:w="1872" w:type="dxa"/>
          </w:tcPr>
          <w:p>
            <w:pPr/>
            <w:r>
              <w:t xml:space="preserve">Não</w:t>
            </w:r>
          </w:p>
        </w:tc>
        <w:tc>
          <w:tcPr>
            <w:tcW w:w="1872" w:type="dxa"/>
          </w:tcPr>
          <w:p>
            <w:pPr/>
            <w:r>
              <w:t xml:space="preserve">Não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II a VII</w:t>
            </w:r>
          </w:p>
        </w:tc>
        <w:tc>
          <w:tcPr>
            <w:tcW w:w="1872" w:type="dxa"/>
          </w:tcPr>
          <w:p>
            <w:pPr/>
            <w:r>
              <w:t xml:space="preserve">Não</w:t>
            </w:r>
          </w:p>
        </w:tc>
        <w:tc>
          <w:tcPr>
            <w:tcW w:w="1872" w:type="dxa"/>
          </w:tcPr>
          <w:p>
            <w:pPr/>
            <w:r>
              <w:t xml:space="preserve">Sim</w:t>
            </w:r>
          </w:p>
        </w:tc>
        <w:tc>
          <w:tcPr>
            <w:tcW w:w="1872" w:type="dxa"/>
          </w:tcPr>
          <w:p>
            <w:pPr/>
            <w:r>
              <w:t xml:space="preserve">Sim, se não couber pena mais grave</w:t>
            </w:r>
          </w:p>
        </w:tc>
        <w:tc>
          <w:tcPr>
            <w:tcW w:w="1872" w:type="dxa"/>
          </w:tcPr>
          <w:p>
            <w:pPr/>
            <w:r>
              <w:t xml:space="preserve">Sim, se a gravidade justificar pena maior que o impedimento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VIII a XII</w:t>
            </w:r>
          </w:p>
        </w:tc>
        <w:tc>
          <w:tcPr>
            <w:tcW w:w="1872" w:type="dxa"/>
          </w:tcPr>
          <w:p>
            <w:pPr/>
            <w:r>
              <w:t xml:space="preserve">Não</w:t>
            </w:r>
          </w:p>
        </w:tc>
        <w:tc>
          <w:tcPr>
            <w:tcW w:w="1872" w:type="dxa"/>
          </w:tcPr>
          <w:p>
            <w:pPr/>
            <w:r>
              <w:t xml:space="preserve">Sim</w:t>
            </w:r>
          </w:p>
        </w:tc>
        <w:tc>
          <w:tcPr>
            <w:tcW w:w="1872" w:type="dxa"/>
          </w:tcPr>
          <w:p>
            <w:pPr/>
            <w:r>
              <w:t xml:space="preserve">Não previsto</w:t>
            </w:r>
          </w:p>
        </w:tc>
        <w:tc>
          <w:tcPr>
            <w:tcW w:w="1872" w:type="dxa"/>
          </w:tcPr>
          <w:p>
            <w:pPr/>
            <w:r>
              <w:t xml:space="preserve">Sim</w:t>
            </w:r>
          </w:p>
        </w:tc>
      </w:tr>
    </w:tbl>
    <w:p>
      <w:pPr/>
      <w:r>
        <w:t xml:space="preserve">Fonte: art. 156, §§ 2º a 5º e 7º. A multa pode ser somada a qualquer das outras três sanções. Para os incisos VIII a XII a lei não prevê impedimento: a proporcionalidade atua no prazo da inidoneidade e no valor da multa.</w:t>
      </w:r>
    </w:p>
    <w:p>
      <w:pPr>
        <w:pStyle w:val="Heading3"/>
      </w:pPr>
      <w:r>
        <w:t xml:space="preserve">5.2 As doze infrações na rotina da SUGESP</w:t>
      </w:r>
    </w:p>
    <w:p>
      <w:pPr/>
      <w:r>
        <w:t xml:space="preserve">Os exemplos são ilustrativos. O enquadramento depende das provas e das cláusulas do edital e do contrato do caso.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  <w:shd w:val="clear" w:color="auto" w:fill="F2F2F2"/>
          </w:tcPr>
          <w:p>
            <w:pPr/>
            <w:r>
              <w:t xml:space="preserve">Inciso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Conduta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Fase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Exemplo na SUGESP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Prova e cuidado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I</w:t>
            </w:r>
          </w:p>
        </w:tc>
        <w:tc>
          <w:tcPr>
            <w:tcW w:w="1872" w:type="dxa"/>
          </w:tcPr>
          <w:p>
            <w:pPr/>
            <w:r>
              <w:t xml:space="preserve">Dar causa à inexecução parcial do contrato</w:t>
            </w:r>
          </w:p>
        </w:tc>
        <w:tc>
          <w:tcPr>
            <w:tcW w:w="1872" w:type="dxa"/>
          </w:tcPr>
          <w:p>
            <w:pPr/>
            <w:r>
              <w:t xml:space="preserve">Execução</w:t>
            </w:r>
          </w:p>
        </w:tc>
        <w:tc>
          <w:tcPr>
            <w:tcW w:w="1872" w:type="dxa"/>
          </w:tcPr>
          <w:p>
            <w:pPr/>
            <w:r>
              <w:t xml:space="preserve">Vigilantes sem o equipamento previsto no termo de referência; veículo locado entregue sem item obrigatório; relatório mensal de manutenção não entregue</w:t>
            </w:r>
          </w:p>
        </w:tc>
        <w:tc>
          <w:tcPr>
            <w:tcW w:w="1872" w:type="dxa"/>
          </w:tcPr>
          <w:p>
            <w:pPr/>
            <w:r>
              <w:t xml:space="preserve">Registro do fiscal, notificação descumprida e memória do que deixou de ser executado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II</w:t>
            </w:r>
          </w:p>
        </w:tc>
        <w:tc>
          <w:tcPr>
            <w:tcW w:w="1872" w:type="dxa"/>
          </w:tcPr>
          <w:p>
            <w:pPr/>
            <w:r>
              <w:t xml:space="preserve">Inexecução parcial que cause grave dano à Administração, ao serviço público ou ao interesse coletivo</w:t>
            </w:r>
          </w:p>
        </w:tc>
        <w:tc>
          <w:tcPr>
            <w:tcW w:w="1872" w:type="dxa"/>
          </w:tcPr>
          <w:p>
            <w:pPr/>
            <w:r>
              <w:t xml:space="preserve">Execução</w:t>
            </w:r>
          </w:p>
        </w:tc>
        <w:tc>
          <w:tcPr>
            <w:tcW w:w="1872" w:type="dxa"/>
          </w:tcPr>
          <w:p>
            <w:pPr/>
            <w:r>
              <w:t xml:space="preserve">Falha no fornecimento de combustível que paralisa veículos de serviço essencial; postos de vigilância descobertos com furto de patrimônio</w:t>
            </w:r>
          </w:p>
        </w:tc>
        <w:tc>
          <w:tcPr>
            <w:tcW w:w="1872" w:type="dxa"/>
          </w:tcPr>
          <w:p>
            <w:pPr/>
            <w:r>
              <w:t xml:space="preserve">O grave dano precisa ser demonstrado e quantificado; sem isso, o enquadramento correto é o inciso I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III</w:t>
            </w:r>
          </w:p>
        </w:tc>
        <w:tc>
          <w:tcPr>
            <w:tcW w:w="1872" w:type="dxa"/>
          </w:tcPr>
          <w:p>
            <w:pPr/>
            <w:r>
              <w:t xml:space="preserve">Dar causa à inexecução total do contrato</w:t>
            </w:r>
          </w:p>
        </w:tc>
        <w:tc>
          <w:tcPr>
            <w:tcW w:w="1872" w:type="dxa"/>
          </w:tcPr>
          <w:p>
            <w:pPr/>
            <w:r>
              <w:t xml:space="preserve">Execução</w:t>
            </w:r>
          </w:p>
        </w:tc>
        <w:tc>
          <w:tcPr>
            <w:tcW w:w="1872" w:type="dxa"/>
          </w:tcPr>
          <w:p>
            <w:pPr/>
            <w:r>
              <w:t xml:space="preserve">Empresa que não inicia o serviço ou abandona a execução</w:t>
            </w:r>
          </w:p>
        </w:tc>
        <w:tc>
          <w:tcPr>
            <w:tcW w:w="1872" w:type="dxa"/>
          </w:tcPr>
          <w:p>
            <w:pPr/>
            <w:r>
              <w:t xml:space="preserve">Ordem de serviço, recusa ou abandono documentados; distinguir de extinção por culpa da Administração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IV</w:t>
            </w:r>
          </w:p>
        </w:tc>
        <w:tc>
          <w:tcPr>
            <w:tcW w:w="1872" w:type="dxa"/>
          </w:tcPr>
          <w:p>
            <w:pPr/>
            <w:r>
              <w:t xml:space="preserve">Deixar de entregar a documentação exigida para o certame</w:t>
            </w:r>
          </w:p>
        </w:tc>
        <w:tc>
          <w:tcPr>
            <w:tcW w:w="1872" w:type="dxa"/>
          </w:tcPr>
          <w:p>
            <w:pPr/>
            <w:r>
              <w:t xml:space="preserve">Licitação</w:t>
            </w:r>
          </w:p>
        </w:tc>
        <w:tc>
          <w:tcPr>
            <w:tcW w:w="1872" w:type="dxa"/>
          </w:tcPr>
          <w:p>
            <w:pPr/>
            <w:r>
              <w:t xml:space="preserve">Arrematante que não envia os documentos de habilitação no prazo do pregão</w:t>
            </w:r>
          </w:p>
        </w:tc>
        <w:tc>
          <w:tcPr>
            <w:tcW w:w="1872" w:type="dxa"/>
          </w:tcPr>
          <w:p>
            <w:pPr/>
            <w:r>
              <w:t xml:space="preserve">Ata da sessão e prazo concedido; falha sanável por diligência não é infração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V</w:t>
            </w:r>
          </w:p>
        </w:tc>
        <w:tc>
          <w:tcPr>
            <w:tcW w:w="1872" w:type="dxa"/>
          </w:tcPr>
          <w:p>
            <w:pPr/>
            <w:r>
              <w:t xml:space="preserve">Não manter a proposta, salvo fato superveniente justificado</w:t>
            </w:r>
          </w:p>
        </w:tc>
        <w:tc>
          <w:tcPr>
            <w:tcW w:w="1872" w:type="dxa"/>
          </w:tcPr>
          <w:p>
            <w:pPr/>
            <w:r>
              <w:t xml:space="preserve">Licitação</w:t>
            </w:r>
          </w:p>
        </w:tc>
        <w:tc>
          <w:tcPr>
            <w:tcW w:w="1872" w:type="dxa"/>
          </w:tcPr>
          <w:p>
            <w:pPr/>
            <w:r>
              <w:t xml:space="preserve">Desistência após a fase de lances; não envio da proposta ajustada</w:t>
            </w:r>
          </w:p>
        </w:tc>
        <w:tc>
          <w:tcPr>
            <w:tcW w:w="1872" w:type="dxa"/>
          </w:tcPr>
          <w:p>
            <w:pPr/>
            <w:r>
              <w:t xml:space="preserve">Avaliar se o fato alegado é superveniente, imprevisível e comprovado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VI</w:t>
            </w:r>
          </w:p>
        </w:tc>
        <w:tc>
          <w:tcPr>
            <w:tcW w:w="1872" w:type="dxa"/>
          </w:tcPr>
          <w:p>
            <w:pPr/>
            <w:r>
              <w:t xml:space="preserve">Não celebrar o contrato ou não entregar a documentação para contratar, dentro da validade da proposta</w:t>
            </w:r>
          </w:p>
        </w:tc>
        <w:tc>
          <w:tcPr>
            <w:tcW w:w="1872" w:type="dxa"/>
          </w:tcPr>
          <w:p>
            <w:pPr/>
            <w:r>
              <w:t xml:space="preserve">Contratação</w:t>
            </w:r>
          </w:p>
        </w:tc>
        <w:tc>
          <w:tcPr>
            <w:tcW w:w="1872" w:type="dxa"/>
          </w:tcPr>
          <w:p>
            <w:pPr/>
            <w:r>
              <w:t xml:space="preserve">Adjudicatário que não assina o contrato ou a ata</w:t>
            </w:r>
          </w:p>
        </w:tc>
        <w:tc>
          <w:tcPr>
            <w:tcW w:w="1872" w:type="dxa"/>
          </w:tcPr>
          <w:p>
            <w:pPr/>
            <w:r>
              <w:t xml:space="preserve">Convocação formal e prazo; a recusa injustificada caracteriza descumprimento total e gera perda da garantia de proposta (art. 90, § 5º)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VII</w:t>
            </w:r>
          </w:p>
        </w:tc>
        <w:tc>
          <w:tcPr>
            <w:tcW w:w="1872" w:type="dxa"/>
          </w:tcPr>
          <w:p>
            <w:pPr/>
            <w:r>
              <w:t xml:space="preserve">Ensejar o retardamento da execução ou da entrega sem motivo justificado</w:t>
            </w:r>
          </w:p>
        </w:tc>
        <w:tc>
          <w:tcPr>
            <w:tcW w:w="1872" w:type="dxa"/>
          </w:tcPr>
          <w:p>
            <w:pPr/>
            <w:r>
              <w:t xml:space="preserve">Execução</w:t>
            </w:r>
          </w:p>
        </w:tc>
        <w:tc>
          <w:tcPr>
            <w:tcW w:w="1872" w:type="dxa"/>
          </w:tcPr>
          <w:p>
            <w:pPr/>
            <w:r>
              <w:t xml:space="preserve">Atraso na entrega de veículos locados, no início dos serviços ou na emissão de bilhetes aéreos</w:t>
            </w:r>
          </w:p>
        </w:tc>
        <w:tc>
          <w:tcPr>
            <w:tcW w:w="1872" w:type="dxa"/>
          </w:tcPr>
          <w:p>
            <w:pPr/>
            <w:r>
              <w:t xml:space="preserve">Prazos contratuais, datas reais e pedido de prorrogação, se houve; atraso leve costuma comportar só multa de mora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VIII</w:t>
            </w:r>
          </w:p>
        </w:tc>
        <w:tc>
          <w:tcPr>
            <w:tcW w:w="1872" w:type="dxa"/>
          </w:tcPr>
          <w:p>
            <w:pPr/>
            <w:r>
              <w:t xml:space="preserve">Apresentar declaração ou documento falso, ou prestar declaração falsa</w:t>
            </w:r>
          </w:p>
        </w:tc>
        <w:tc>
          <w:tcPr>
            <w:tcW w:w="1872" w:type="dxa"/>
          </w:tcPr>
          <w:p>
            <w:pPr/>
            <w:r>
              <w:t xml:space="preserve">Licitação ou execução</w:t>
            </w:r>
          </w:p>
        </w:tc>
        <w:tc>
          <w:tcPr>
            <w:tcW w:w="1872" w:type="dxa"/>
          </w:tcPr>
          <w:p>
            <w:pPr/>
            <w:r>
              <w:t xml:space="preserve">Atestado de capacidade técnica inverídico; declaração falsa de enquadramento como ME/EPP; certidão adulterada</w:t>
            </w:r>
          </w:p>
        </w:tc>
        <w:tc>
          <w:tcPr>
            <w:tcW w:w="1872" w:type="dxa"/>
          </w:tcPr>
          <w:p>
            <w:pPr/>
            <w:r>
              <w:t xml:space="preserve">Diligência formal ao emissor; o silêncio dele não prova falsidade (seção 17.7). Se o documento serviu para vencer o certame ou obter vantagem no contrato, é também ato lesivo: remeta à CGE (seção 17.1). A reabilitação exigirá programa de integridade (art. 163, p.ú.)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IX</w:t>
            </w:r>
          </w:p>
        </w:tc>
        <w:tc>
          <w:tcPr>
            <w:tcW w:w="1872" w:type="dxa"/>
          </w:tcPr>
          <w:p>
            <w:pPr/>
            <w:r>
              <w:t xml:space="preserve">Fraudar a licitação ou praticar ato fraudulento na execução</w:t>
            </w:r>
          </w:p>
        </w:tc>
        <w:tc>
          <w:tcPr>
            <w:tcW w:w="1872" w:type="dxa"/>
          </w:tcPr>
          <w:p>
            <w:pPr/>
            <w:r>
              <w:t xml:space="preserve">Licitação ou execução</w:t>
            </w:r>
          </w:p>
        </w:tc>
        <w:tc>
          <w:tcPr>
            <w:tcW w:w="1872" w:type="dxa"/>
          </w:tcPr>
          <w:p>
            <w:pPr/>
            <w:r>
              <w:t xml:space="preserve">Cobrança de peças não trocadas em manutenção automotiva; notas de abastecimento sem abastecimento real</w:t>
            </w:r>
          </w:p>
        </w:tc>
        <w:tc>
          <w:tcPr>
            <w:tcW w:w="1872" w:type="dxa"/>
          </w:tcPr>
          <w:p>
            <w:pPr/>
            <w:r>
              <w:t xml:space="preserve">Fraudar licitação ou contrato é também ato lesivo da Lei 12.846 (art. 5º, IV, "d"): preserve as provas e remeta à CGE para o PAR (seção 17.1); comunique o Ministério Público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X</w:t>
            </w:r>
          </w:p>
        </w:tc>
        <w:tc>
          <w:tcPr>
            <w:tcW w:w="1872" w:type="dxa"/>
          </w:tcPr>
          <w:p>
            <w:pPr/>
            <w:r>
              <w:t xml:space="preserve">Comportar-se de modo inidôneo ou cometer fraude de qualquer natureza</w:t>
            </w:r>
          </w:p>
        </w:tc>
        <w:tc>
          <w:tcPr>
            <w:tcW w:w="1872" w:type="dxa"/>
          </w:tcPr>
          <w:p>
            <w:pPr/>
            <w:r>
              <w:t xml:space="preserve">Qualquer</w:t>
            </w:r>
          </w:p>
        </w:tc>
        <w:tc>
          <w:tcPr>
            <w:tcW w:w="1872" w:type="dxa"/>
          </w:tcPr>
          <w:p>
            <w:pPr/>
            <w:r>
              <w:t xml:space="preserve">Conduta grave sem encaixe nos incisos específicos</w:t>
            </w:r>
          </w:p>
        </w:tc>
        <w:tc>
          <w:tcPr>
            <w:tcW w:w="1872" w:type="dxa"/>
          </w:tcPr>
          <w:p>
            <w:pPr/>
            <w:r>
              <w:t xml:space="preserve">Tipo aberto: use só de forma residual e descreva a conduta concreta; se houver fraude, siga a regra do PAR (seção 17.1)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XI</w:t>
            </w:r>
          </w:p>
        </w:tc>
        <w:tc>
          <w:tcPr>
            <w:tcW w:w="1872" w:type="dxa"/>
          </w:tcPr>
          <w:p>
            <w:pPr/>
            <w:r>
              <w:t xml:space="preserve">Praticar atos ilícitos para frustrar os objetivos da licitação</w:t>
            </w:r>
          </w:p>
        </w:tc>
        <w:tc>
          <w:tcPr>
            <w:tcW w:w="1872" w:type="dxa"/>
          </w:tcPr>
          <w:p>
            <w:pPr/>
            <w:r>
              <w:t xml:space="preserve">Planejamento ou licitação</w:t>
            </w:r>
          </w:p>
        </w:tc>
        <w:tc>
          <w:tcPr>
            <w:tcW w:w="1872" w:type="dxa"/>
          </w:tcPr>
          <w:p>
            <w:pPr/>
            <w:r>
              <w:t xml:space="preserve">Combinação de preços entre licitantes; orçamentos de cobertura na pesquisa de preços</w:t>
            </w:r>
          </w:p>
        </w:tc>
        <w:tc>
          <w:tcPr>
            <w:tcW w:w="1872" w:type="dxa"/>
          </w:tcPr>
          <w:p>
            <w:pPr/>
            <w:r>
              <w:t xml:space="preserve">Indícios convergentes (mesmos sócios, endereço, padrão de lances). Combinar preços é ato lesivo (Lei 12.846, art. 5º, IV, "a"): remeta à CGE para o PAR (seção 17.1) e comunique o CADE e o MP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XII</w:t>
            </w:r>
          </w:p>
        </w:tc>
        <w:tc>
          <w:tcPr>
            <w:tcW w:w="1872" w:type="dxa"/>
          </w:tcPr>
          <w:p>
            <w:pPr/>
            <w:r>
              <w:t xml:space="preserve">Praticar ato lesivo do art. 5º da Lei 12.846/2013</w:t>
            </w:r>
          </w:p>
        </w:tc>
        <w:tc>
          <w:tcPr>
            <w:tcW w:w="1872" w:type="dxa"/>
          </w:tcPr>
          <w:p>
            <w:pPr/>
            <w:r>
              <w:t xml:space="preserve">Qualquer</w:t>
            </w:r>
          </w:p>
        </w:tc>
        <w:tc>
          <w:tcPr>
            <w:tcW w:w="1872" w:type="dxa"/>
          </w:tcPr>
          <w:p>
            <w:pPr/>
            <w:r>
              <w:t xml:space="preserve">Oferta de vantagem indevida a fiscal ou agente de contratação</w:t>
            </w:r>
          </w:p>
        </w:tc>
        <w:tc>
          <w:tcPr>
            <w:tcW w:w="1872" w:type="dxa"/>
          </w:tcPr>
          <w:p>
            <w:pPr/>
            <w:r>
              <w:t xml:space="preserve">Remessa à CGE, que conduz o PAR com apuração conjunta das duas leis (seção 17.1)</w:t>
            </w:r>
          </w:p>
        </w:tc>
      </w:tr>
    </w:tbl>
    <w:p>
      <w:pPr>
        <w:pStyle w:val="Heading3"/>
      </w:pPr>
      <w:r>
        <w:t xml:space="preserve">5.3 Três erros frequentes de enquadramento</w:t>
      </w:r>
    </w:p>
    <w:p>
      <w:pPr>
        <w:pStyle w:val="ListParagraph"/>
        <w:numPr>
          <w:ilvl w:val="0"/>
          <w:numId w:val="4"/>
        </w:numPr>
      </w:pPr>
      <w:r>
        <w:rPr>
          <w:b/>
        </w:rPr>
        <w:t xml:space="preserve">Usar o inciso II sem provar o grave dano.</w:t>
      </w:r>
      <w:r>
        <w:t xml:space="preserve"> O "grave dano" é elemento do tipo. Sem demonstração concreta, o fato é inexecução parcial simples (inciso I), que não admite impedimento.</w:t>
      </w:r>
    </w:p>
    <w:p>
      <w:pPr>
        <w:pStyle w:val="ListParagraph"/>
        <w:numPr>
          <w:ilvl w:val="0"/>
          <w:numId w:val="4"/>
        </w:numPr>
      </w:pPr>
      <w:r>
        <w:rPr>
          <w:b/>
        </w:rPr>
        <w:t xml:space="preserve">Confundir atraso com inexecução.</w:t>
      </w:r>
      <w:r>
        <w:t xml:space="preserve"> Atraso que depois é sanado é retardamento (inciso VII), punido em regra com multa de mora. Atraso que frustra a finalidade do contrato pode virar inexecução, com conversão da multa (art. 162, p.ú.).</w:t>
      </w:r>
    </w:p>
    <w:p>
      <w:pPr>
        <w:pStyle w:val="ListParagraph"/>
        <w:numPr>
          <w:ilvl w:val="0"/>
          <w:numId w:val="4"/>
        </w:numPr>
      </w:pPr>
      <w:r>
        <w:rPr>
          <w:b/>
        </w:rPr>
        <w:t xml:space="preserve">Enquadrar em mais de um inciso o mesmo fato.</w:t>
      </w:r>
      <w:r>
        <w:t xml:space="preserve"> Escolha o inciso mais específico. Várias infrações distintas no mesmo contrato podem ser apuradas juntas, com sanção pela mais grave e as demais como agravante (seção 7).</w:t>
      </w:r>
    </w:p>
    <w:p>
      <w:pPr>
        <w:pStyle w:val="Heading2"/>
      </w:pPr>
      <w:r>
        <w:t xml:space="preserve">6. Sanções em espécie</w:t>
      </w:r>
    </w:p>
    <w:p>
      <w:pPr/>
      <w:r>
        <w:t xml:space="preserve">São quatro sanções, em escala crescente: advertência, multa, impedimento de licitar e contratar e declaração de inidoneidade (Lei 14.133, art. 156). A multa é a única que se soma às demais.</w:t>
      </w:r>
    </w:p>
    <w:p>
      <w:pPr/>
      <w:r>
        <w:drawing>
          <wp:inline distT="0" distB="0" distL="0" distR="0">
            <wp:extent cx="5486400" cy="3086100"/>
            <wp:docPr id="2" name="image2" descr="Escada das sanções em gravidade crescente: advertência, multa de 0,5% a 30%, impedimento de até 3 anos no Estado de Rondônia e inidoneidade de 3 a 6 anos em todo o país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Escada das sanções em gravidade crescente: advertência, multa de 0,5% a 30%, impedimento de até 3 anos no Estado de Rondônia e inidoneidade de 3 a 6 anos em todo o país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6.1 Quadro comparativo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  <w:shd w:val="clear" w:color="auto" w:fill="F2F2F2"/>
          </w:tcPr>
          <w:p>
            <w:pPr/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Advertência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Multa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Impedimento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Inidoneidade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Infrações</w:t>
            </w:r>
          </w:p>
        </w:tc>
        <w:tc>
          <w:tcPr>
            <w:tcW w:w="1872" w:type="dxa"/>
          </w:tcPr>
          <w:p>
            <w:pPr/>
            <w:r>
              <w:t xml:space="preserve">Só o inciso I do art. 155</w:t>
            </w:r>
          </w:p>
        </w:tc>
        <w:tc>
          <w:tcPr>
            <w:tcW w:w="1872" w:type="dxa"/>
          </w:tcPr>
          <w:p>
            <w:pPr/>
            <w:r>
              <w:t xml:space="preserve">Qualquer inciso</w:t>
            </w:r>
          </w:p>
        </w:tc>
        <w:tc>
          <w:tcPr>
            <w:tcW w:w="1872" w:type="dxa"/>
          </w:tcPr>
          <w:p>
            <w:pPr/>
            <w:r>
              <w:t xml:space="preserve">Incisos II a VII</w:t>
            </w:r>
          </w:p>
        </w:tc>
        <w:tc>
          <w:tcPr>
            <w:tcW w:w="1872" w:type="dxa"/>
          </w:tcPr>
          <w:p>
            <w:pPr/>
            <w:r>
              <w:t xml:space="preserve">Incisos VIII a XII; II a VII se mais grave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Limite</w:t>
            </w:r>
          </w:p>
        </w:tc>
        <w:tc>
          <w:tcPr>
            <w:tcW w:w="1872" w:type="dxa"/>
          </w:tcPr>
          <w:p>
            <w:pPr/>
            <w:r>
              <w:t xml:space="preserve">Sem prazo</w:t>
            </w:r>
          </w:p>
        </w:tc>
        <w:tc>
          <w:tcPr>
            <w:tcW w:w="1872" w:type="dxa"/>
          </w:tcPr>
          <w:p>
            <w:pPr/>
            <w:r>
              <w:t xml:space="preserve">0,5% a 30% do valor do contrato licitado ou celebrado</w:t>
            </w:r>
          </w:p>
        </w:tc>
        <w:tc>
          <w:tcPr>
            <w:tcW w:w="1872" w:type="dxa"/>
          </w:tcPr>
          <w:p>
            <w:pPr/>
            <w:r>
              <w:t xml:space="preserve">Até 3 anos</w:t>
            </w:r>
          </w:p>
        </w:tc>
        <w:tc>
          <w:tcPr>
            <w:tcW w:w="1872" w:type="dxa"/>
          </w:tcPr>
          <w:p>
            <w:pPr/>
            <w:r>
              <w:t xml:space="preserve">De 3 a 6 anos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Abrangência</w:t>
            </w:r>
          </w:p>
        </w:tc>
        <w:tc>
          <w:tcPr>
            <w:tcW w:w="1872" w:type="dxa"/>
          </w:tcPr>
          <w:p>
            <w:pPr/>
            <w:r>
              <w:t xml:space="preserve">Registro no histórico do fornecedor</w:t>
            </w:r>
          </w:p>
        </w:tc>
        <w:tc>
          <w:tcPr>
            <w:tcW w:w="1872" w:type="dxa"/>
          </w:tcPr>
          <w:p>
            <w:pPr/>
            <w:r>
              <w:t xml:space="preserve">Patrimonial</w:t>
            </w:r>
          </w:p>
        </w:tc>
        <w:tc>
          <w:tcPr>
            <w:tcW w:w="1872" w:type="dxa"/>
          </w:tcPr>
          <w:p>
            <w:pPr/>
            <w:r>
              <w:t xml:space="preserve">Administração direta e indireta do Estado de Rondônia</w:t>
            </w:r>
          </w:p>
        </w:tc>
        <w:tc>
          <w:tcPr>
            <w:tcW w:w="1872" w:type="dxa"/>
          </w:tcPr>
          <w:p>
            <w:pPr/>
            <w:r>
              <w:t xml:space="preserve">Administração direta e indireta de todos os entes federativos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Rito</w:t>
            </w:r>
          </w:p>
        </w:tc>
        <w:tc>
          <w:tcPr>
            <w:tcW w:w="1872" w:type="dxa"/>
          </w:tcPr>
          <w:p>
            <w:pPr/>
            <w:r>
              <w:t xml:space="preserve">Simplificado</w:t>
            </w:r>
          </w:p>
        </w:tc>
        <w:tc>
          <w:tcPr>
            <w:tcW w:w="1872" w:type="dxa"/>
          </w:tcPr>
          <w:p>
            <w:pPr/>
            <w:r>
              <w:t xml:space="preserve">Simplificado; com comissão se cumulada com impedimento ou inidoneidade</w:t>
            </w:r>
          </w:p>
        </w:tc>
        <w:tc>
          <w:tcPr>
            <w:tcW w:w="1872" w:type="dxa"/>
          </w:tcPr>
          <w:p>
            <w:pPr/>
            <w:r>
              <w:t xml:space="preserve">Comissão de 2 ou mais servidores estáveis</w:t>
            </w:r>
          </w:p>
        </w:tc>
        <w:tc>
          <w:tcPr>
            <w:tcW w:w="1872" w:type="dxa"/>
          </w:tcPr>
          <w:p>
            <w:pPr/>
            <w:r>
              <w:t xml:space="preserve">Comissão, mais análise jurídica prévia da PGE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Quem aplica na SUGESP</w:t>
            </w:r>
          </w:p>
        </w:tc>
        <w:tc>
          <w:tcPr>
            <w:tcW w:w="1872" w:type="dxa"/>
          </w:tcPr>
          <w:p>
            <w:pPr/>
            <w:r>
              <w:t xml:space="preserve">Fiscalização, delegado ou Superintendente (seção 3.2)</w:t>
            </w:r>
          </w:p>
        </w:tc>
        <w:tc>
          <w:tcPr>
            <w:tcW w:w="1872" w:type="dxa"/>
          </w:tcPr>
          <w:p>
            <w:pPr/>
            <w:r>
              <w:t xml:space="preserve">Fiscalização até 5%; acima de 5%, o Superintendente</w:t>
            </w:r>
          </w:p>
        </w:tc>
        <w:tc>
          <w:tcPr>
            <w:tcW w:w="1872" w:type="dxa"/>
          </w:tcPr>
          <w:p>
            <w:pPr/>
            <w:r>
              <w:t xml:space="preserve">Superintendente</w:t>
            </w:r>
          </w:p>
        </w:tc>
        <w:tc>
          <w:tcPr>
            <w:tcW w:w="1872" w:type="dxa"/>
          </w:tcPr>
          <w:p>
            <w:pPr/>
            <w:r>
              <w:t xml:space="preserve">Autoridade com status de Secretário de Estado (art. 156, § 6º, I), após juízo de reprovabilidade do Superintendente (seção 3.2)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Defesa</w:t>
            </w:r>
          </w:p>
        </w:tc>
        <w:tc>
          <w:tcPr>
            <w:tcW w:w="1872" w:type="dxa"/>
          </w:tcPr>
          <w:p>
            <w:pPr/>
            <w:r>
              <w:t xml:space="preserve">15 dias úteis (por analogia ao art. 157)</w:t>
            </w:r>
          </w:p>
        </w:tc>
        <w:tc>
          <w:tcPr>
            <w:tcW w:w="1872" w:type="dxa"/>
          </w:tcPr>
          <w:p>
            <w:pPr/>
            <w:r>
              <w:t xml:space="preserve">15 dias úteis</w:t>
            </w:r>
          </w:p>
        </w:tc>
        <w:tc>
          <w:tcPr>
            <w:tcW w:w="1872" w:type="dxa"/>
          </w:tcPr>
          <w:p>
            <w:pPr/>
            <w:r>
              <w:t xml:space="preserve">15 dias úteis</w:t>
            </w:r>
          </w:p>
        </w:tc>
        <w:tc>
          <w:tcPr>
            <w:tcW w:w="1872" w:type="dxa"/>
          </w:tcPr>
          <w:p>
            <w:pPr/>
            <w:r>
              <w:t xml:space="preserve">15 dias úteis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Impugnação</w:t>
            </w:r>
          </w:p>
        </w:tc>
        <w:tc>
          <w:tcPr>
            <w:tcW w:w="1872" w:type="dxa"/>
          </w:tcPr>
          <w:p>
            <w:pPr/>
            <w:r>
              <w:t xml:space="preserve">Recurso, 15 dias úteis</w:t>
            </w:r>
          </w:p>
        </w:tc>
        <w:tc>
          <w:tcPr>
            <w:tcW w:w="1872" w:type="dxa"/>
          </w:tcPr>
          <w:p>
            <w:pPr/>
            <w:r>
              <w:t xml:space="preserve">Recurso, 15 dias úteis</w:t>
            </w:r>
          </w:p>
        </w:tc>
        <w:tc>
          <w:tcPr>
            <w:tcW w:w="1872" w:type="dxa"/>
          </w:tcPr>
          <w:p>
            <w:pPr/>
            <w:r>
              <w:t xml:space="preserve">Recurso, 15 dias úteis</w:t>
            </w:r>
          </w:p>
        </w:tc>
        <w:tc>
          <w:tcPr>
            <w:tcW w:w="1872" w:type="dxa"/>
          </w:tcPr>
          <w:p>
            <w:pPr/>
            <w:r>
              <w:t xml:space="preserve">Pedido de reconsideração, 15 dias úteis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Reabilitação</w:t>
            </w:r>
          </w:p>
        </w:tc>
        <w:tc>
          <w:tcPr>
            <w:tcW w:w="1872" w:type="dxa"/>
          </w:tcPr>
          <w:p>
            <w:pPr/>
            <w:r>
              <w:t xml:space="preserve">Não se aplica</w:t>
            </w:r>
          </w:p>
        </w:tc>
        <w:tc>
          <w:tcPr>
            <w:tcW w:w="1872" w:type="dxa"/>
          </w:tcPr>
          <w:p>
            <w:pPr/>
            <w:r>
              <w:t xml:space="preserve">Não se aplica (a quitação encerra a sanção)</w:t>
            </w:r>
          </w:p>
        </w:tc>
        <w:tc>
          <w:tcPr>
            <w:tcW w:w="1872" w:type="dxa"/>
          </w:tcPr>
          <w:p>
            <w:pPr/>
            <w:r>
              <w:t xml:space="preserve">Após 1 ano, com requisitos</w:t>
            </w:r>
          </w:p>
        </w:tc>
        <w:tc>
          <w:tcPr>
            <w:tcW w:w="1872" w:type="dxa"/>
          </w:tcPr>
          <w:p>
            <w:pPr/>
            <w:r>
              <w:t xml:space="preserve">Após 3 anos, com requisitos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Base</w:t>
            </w:r>
          </w:p>
        </w:tc>
        <w:tc>
          <w:tcPr>
            <w:tcW w:w="1872" w:type="dxa"/>
          </w:tcPr>
          <w:p>
            <w:pPr/>
            <w:r>
              <w:t xml:space="preserve">Art. 156, § 2º</w:t>
            </w:r>
          </w:p>
        </w:tc>
        <w:tc>
          <w:tcPr>
            <w:tcW w:w="1872" w:type="dxa"/>
          </w:tcPr>
          <w:p>
            <w:pPr/>
            <w:r>
              <w:t xml:space="preserve">Art. 156, §§ 3º, 7º e 8º; Dec. 28.874, arts. 185 e 186</w:t>
            </w:r>
          </w:p>
        </w:tc>
        <w:tc>
          <w:tcPr>
            <w:tcW w:w="1872" w:type="dxa"/>
          </w:tcPr>
          <w:p>
            <w:pPr/>
            <w:r>
              <w:t xml:space="preserve">Art. 156, § 4º; art. 158</w:t>
            </w:r>
          </w:p>
        </w:tc>
        <w:tc>
          <w:tcPr>
            <w:tcW w:w="1872" w:type="dxa"/>
          </w:tcPr>
          <w:p>
            <w:pPr/>
            <w:r>
              <w:t xml:space="preserve">Art. 156, §§ 5º e 6º; Dec. 28.874, art. 186, p.ú., I e II</w:t>
            </w:r>
          </w:p>
        </w:tc>
      </w:tr>
    </w:tbl>
    <w:p>
      <w:pPr>
        <w:pStyle w:val="Heading3"/>
      </w:pPr>
      <w:r>
        <w:t xml:space="preserve">6.2 Advertência</w:t>
      </w:r>
    </w:p>
    <w:p>
      <w:pPr/>
      <w:r>
        <w:t xml:space="preserve">É sanção, não simples aviso. Por isso exige processo, defesa e decisão motivada, e gera antecedente que pesa em futuras dosimetrias e na avaliação de desempenho do fornecedor (art. 88, § 3º). Cabe só para inexecução parcial sem gravidade que justifique pena maior. O Decreto 28.874, art. 26, § 1º, determina advertência com prazo para regularizar quando a contratada de serviço com mão de obra exclusiva descumpre obrigação trabalhista.</w:t>
      </w:r>
    </w:p>
    <w:p>
      <w:pPr>
        <w:pStyle w:val="Heading3"/>
      </w:pPr>
      <w:r>
        <w:t xml:space="preserve">6.3 Multa</w:t>
      </w:r>
    </w:p>
    <w:p>
      <w:pPr>
        <w:pStyle w:val="ListParagraph"/>
        <w:numPr>
          <w:ilvl w:val="0"/>
          <w:numId w:val="5"/>
        </w:numPr>
      </w:pPr>
      <w:r>
        <w:rPr>
          <w:b/>
        </w:rPr>
        <w:t xml:space="preserve">Compensatória ou moratória.</w:t>
      </w:r>
      <w:r>
        <w:t xml:space="preserve"> A compensatória pune a infração. A moratória pune o atraso injustificado e pode ser convertida em compensatória, com extinção do contrato e outras sanções (art. 162).</w:t>
      </w:r>
    </w:p>
    <w:p>
      <w:pPr>
        <w:pStyle w:val="ListParagraph"/>
        <w:numPr>
          <w:ilvl w:val="0"/>
          <w:numId w:val="5"/>
        </w:numPr>
      </w:pPr>
      <w:r>
        <w:rPr>
          <w:b/>
        </w:rPr>
        <w:t xml:space="preserve">Só na forma do edital ou do contrato.</w:t>
      </w:r>
      <w:r>
        <w:t xml:space="preserve"> O percentual, a base e a unidade de incidência (por dia, por ocorrência, por item) vêm do instrumento. Se o edital é omisso ou ambíguo, a dúvida se resolve a favor do contratado e deve ser levada à Assessoria Jurídica.</w:t>
      </w:r>
    </w:p>
    <w:p>
      <w:pPr>
        <w:pStyle w:val="ListParagraph"/>
        <w:numPr>
          <w:ilvl w:val="0"/>
          <w:numId w:val="5"/>
        </w:numPr>
      </w:pPr>
      <w:r>
        <w:rPr>
          <w:b/>
        </w:rPr>
        <w:t xml:space="preserve">Limites.</w:t>
      </w:r>
      <w:r>
        <w:t xml:space="preserve"> Mínimo de 0,5% e máximo de 30% do valor do contrato licitado ou celebrado (art. 156, § 3º). Se o cálculo pela cláusula ficar abaixo do piso, aplica-se o piso. A incidência desses limites sobre a multa de mora diária é controvertida; recomenda-se que o edital limite a mora acumulada a 30% e que toda decisão confronte o total com os limites legais.</w:t>
      </w:r>
    </w:p>
    <w:p>
      <w:pPr>
        <w:pStyle w:val="ListParagraph"/>
        <w:numPr>
          <w:ilvl w:val="0"/>
          <w:numId w:val="5"/>
        </w:numPr>
      </w:pPr>
      <w:r>
        <w:rPr>
          <w:b/>
        </w:rPr>
        <w:t xml:space="preserve">Base de cálculo.</w:t>
      </w:r>
      <w:r>
        <w:t xml:space="preserve"> Use a definição do edital. Na omissão, adote o valor inicial do contrato, ou o da prorrogação vigente nos contratos contínuos; essa escolha favorece o contratado nos tetos e reduz o risco de incompetência. O limite de 5% da fiscalização considera a soma das multas do mesmo processo, inclusive a mora acumulada até a decisão. Nos contratos por demanda, submeta a definição à Assessoria Jurídica.</w:t>
      </w:r>
    </w:p>
    <w:p>
      <w:pPr>
        <w:pStyle w:val="ListParagraph"/>
        <w:numPr>
          <w:ilvl w:val="0"/>
          <w:numId w:val="5"/>
        </w:numPr>
      </w:pPr>
      <w:r>
        <w:rPr>
          <w:b/>
        </w:rPr>
        <w:t xml:space="preserve">Infrações da fase de licitação.</w:t>
      </w:r>
      <w:r>
        <w:t xml:space="preserve"> Sem contrato celebrado, a base é o valor estimado ou licitado do item ou lote, conforme o edital (seção 9.5).</w:t>
      </w:r>
    </w:p>
    <w:p>
      <w:pPr>
        <w:pStyle w:val="ListParagraph"/>
        <w:numPr>
          <w:ilvl w:val="0"/>
          <w:numId w:val="5"/>
        </w:numPr>
      </w:pPr>
      <w:r>
        <w:rPr>
          <w:b/>
        </w:rPr>
        <w:t xml:space="preserve">Ordem de cobrança.</w:t>
      </w:r>
      <w:r>
        <w:t xml:space="preserve"> Desconta-se dos pagamentos devidos; a diferença, da garantia; o saldo é inscrito em dívida ativa e cobrado pela PGE (art. 156, § 8º; art. 139, III, "c", e IV; Lei 4.320/1964, art. 39, § 2º).</w:t>
      </w:r>
    </w:p>
    <w:p>
      <w:pPr>
        <w:pStyle w:val="ListParagraph"/>
        <w:numPr>
          <w:ilvl w:val="0"/>
          <w:numId w:val="5"/>
        </w:numPr>
      </w:pPr>
      <w:r>
        <w:rPr>
          <w:b/>
        </w:rPr>
        <w:t xml:space="preserve">Retenção cautelar.</w:t>
      </w:r>
      <w:r>
        <w:t xml:space="preserve"> É excepcional e exige, cumulativamente: processo já instaurado; risco concreto e documentado de não recebimento (por exemplo, fim do contrato sem garantia suficiente ou encerramento de atividades); cláusula contratual; decisão motivada da autoridade competente, com ciência imediata à empresa (Lei 3.830, art. 63); limite ao valor máximo da multa em tese, segundo a memória de cálculo; liberação se o processo não for decidido no prazo fixado. A retenção nunca alcança a parcela incontroversa (Lei 14.133, art. 143), e reter pagamento como forma de pressão é vedado. Depois da extinção unilateral, aplica-se o art. 139, IV.</w:t>
      </w:r>
    </w:p>
    <w:p>
      <w:pPr>
        <w:pStyle w:val="ListParagraph"/>
        <w:numPr>
          <w:ilvl w:val="0"/>
          <w:numId w:val="5"/>
        </w:numPr>
      </w:pPr>
      <w:r>
        <w:rPr>
          <w:b/>
        </w:rPr>
        <w:t xml:space="preserve">Multa não é indenização.</w:t>
      </w:r>
      <w:r>
        <w:t xml:space="preserve"> A sanção não exclui a reparação integral do dano (art. 156, § 9º). Calcule o prejuízo em memória separada.</w:t>
      </w:r>
    </w:p>
    <w:p>
      <w:pPr>
        <w:pStyle w:val="Heading3"/>
      </w:pPr>
      <w:r>
        <w:t xml:space="preserve">6.4 Impedimento de licitar e contratar</w:t>
      </w:r>
    </w:p>
    <w:p>
      <w:pPr/>
      <w:r>
        <w:t xml:space="preserve">Alcança toda a Administração direta e indireta do Estado de Rondônia, e não apenas a SUGESP. Não alcança municípios, outros estados nem a União (art. 156, § 4º). O prazo máximo é de 3 anos e não há mínimo legal. O impedido não pode disputar licitação nem participar da execução de contrato, direta ou indiretamente; a vedação se estende a quem atue em substituição para burlar a sanção, inclusive controladora, controlada ou coligada, provado o ilícito (art. 14, III e § 1º).</w:t>
      </w:r>
    </w:p>
    <w:p>
      <w:pPr>
        <w:pStyle w:val="Heading3"/>
      </w:pPr>
      <w:r>
        <w:t xml:space="preserve">6.5 Declaração de inidoneidade</w:t>
      </w:r>
    </w:p>
    <w:p>
      <w:pPr/>
      <w:r>
        <w:t xml:space="preserve">É a sanção mais grave, com efeito nacional, de 3 a 6 anos. Exige análise jurídica prévia (art. 156, § 6º) e, no Estado, remessa à PGE após o relatório da comissão (Dec. 28.874, art. 186, p.ú., II). Contra ela cabe apenas pedido de reconsideração (art. 167).</w:t>
      </w:r>
    </w:p>
    <w:p>
      <w:pPr>
        <w:pStyle w:val="Heading3"/>
      </w:pPr>
      <w:r>
        <w:t xml:space="preserve">6.6 Efeitos no tempo e soma de sanções</w:t>
      </w:r>
    </w:p>
    <w:p>
      <w:pPr>
        <w:pStyle w:val="ListParagraph"/>
        <w:numPr>
          <w:ilvl w:val="0"/>
          <w:numId w:val="6"/>
        </w:numPr>
      </w:pPr>
      <w:r>
        <w:rPr>
          <w:b/>
        </w:rPr>
        <w:t xml:space="preserve">Efeito para o futuro.</w:t>
      </w:r>
      <w:r>
        <w:t xml:space="preserve"> Impedimento e inidoneidade não extinguem automaticamente contratos já em curso com o sancionado. A Administração avalia, caso a caso e com motivação, se extingue cada contrato. Esse entendimento vem do STJ (MS 13.101/DF, 1ª Seção, 2008) e é seguido pelo TCU.</w:t>
      </w:r>
    </w:p>
    <w:p>
      <w:pPr>
        <w:pStyle w:val="ListParagraph"/>
        <w:numPr>
          <w:ilvl w:val="0"/>
          <w:numId w:val="6"/>
        </w:numPr>
      </w:pPr>
      <w:r>
        <w:rPr>
          <w:b/>
        </w:rPr>
        <w:t xml:space="preserve">Início do prazo.</w:t>
      </w:r>
      <w:r>
        <w:t xml:space="preserve"> Recomenda-se contar o prazo da publicação, no DOE, da decisão definitiva, já que recurso e pedido de reconsideração têm efeito suspensivo (art. 168). A decisão fixa a duração e a regra de início; as datas exatas constam da certidão de definitividade e do extrato. Para a reabilitação, considera-se aplicada a sanção na data da decisão definitiva (art. 163, III).</w:t>
      </w:r>
    </w:p>
    <w:p>
      <w:pPr>
        <w:pStyle w:val="ListParagraph"/>
        <w:numPr>
          <w:ilvl w:val="0"/>
          <w:numId w:val="6"/>
        </w:numPr>
      </w:pPr>
      <w:r>
        <w:rPr>
          <w:b/>
        </w:rPr>
        <w:t xml:space="preserve">Soma.</w:t>
      </w:r>
      <w:r>
        <w:t xml:space="preserve"> Se sobrevier impedimento ou inidoneidade enquanto outra sanção restritiva ainda corre, os períodos se somam, sem compensação nem redução, salvo reabilitação (Dec. 28.874, art. 186, p.ú., IV).</w:t>
      </w:r>
    </w:p>
    <w:p>
      <w:pPr>
        <w:pStyle w:val="Heading2"/>
      </w:pPr>
      <w:r>
        <w:t xml:space="preserve">7. Dosimetria</w:t>
      </w:r>
    </w:p>
    <w:p>
      <w:pPr/>
      <w:r>
        <w:t xml:space="preserve">Dosar é escolher a sanção certa e fixá-la na medida certa, com cálculo que um terceiro consiga refazer. O art. 156, § 1º, da Lei 14.133 e o art. 22, §§ 2º e 3º, da LINDB dão os critérios; o método abaixo é uma proposta deste manual para padronizar a motivação na SUGESP.</w:t>
      </w:r>
    </w:p>
    <w:p>
      <w:pPr>
        <w:pStyle w:val="Heading3"/>
      </w:pPr>
      <w:r>
        <w:t xml:space="preserve">7.1 Os cinco critérios legais e a pergunta que cada um impõe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2F2"/>
          </w:tcPr>
          <w:p>
            <w:pPr/>
            <w:r>
              <w:t xml:space="preserve">Critério (art. 156, § 1º)</w:t>
            </w:r>
          </w:p>
        </w:tc>
        <w:tc>
          <w:tcPr>
            <w:tcW w:w="4680" w:type="dxa"/>
            <w:shd w:val="clear" w:color="auto" w:fill="F2F2F2"/>
          </w:tcPr>
          <w:p>
            <w:pPr/>
            <w:r>
              <w:t xml:space="preserve">Pergunta que a decisão deve responder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I — natureza e gravidade da infração</w:t>
            </w:r>
          </w:p>
        </w:tc>
        <w:tc>
          <w:tcPr>
            <w:tcW w:w="4680" w:type="dxa"/>
          </w:tcPr>
          <w:p>
            <w:pPr/>
            <w:r>
              <w:t xml:space="preserve">Qual inciso foi violado e quão distante a conduta ficou do dever contratual?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II — peculiaridades do caso concreto</w:t>
            </w:r>
          </w:p>
        </w:tc>
        <w:tc>
          <w:tcPr>
            <w:tcW w:w="4680" w:type="dxa"/>
          </w:tcPr>
          <w:p>
            <w:pPr/>
            <w:r>
              <w:t xml:space="preserve">Que circunstâncias de tempo, lugar, mercado ou da própria Administração influenciaram a conduta?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III — agravantes ou atenuantes</w:t>
            </w:r>
          </w:p>
        </w:tc>
        <w:tc>
          <w:tcPr>
            <w:tcW w:w="4680" w:type="dxa"/>
          </w:tcPr>
          <w:p>
            <w:pPr/>
            <w:r>
              <w:t xml:space="preserve">Quais circunstâncias da tabela 7.4 estão provadas nos autos?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IV — danos à Administração</w:t>
            </w:r>
          </w:p>
        </w:tc>
        <w:tc>
          <w:tcPr>
            <w:tcW w:w="4680" w:type="dxa"/>
          </w:tcPr>
          <w:p>
            <w:pPr/>
            <w:r>
              <w:t xml:space="preserve">Houve prejuízo financeiro, ao serviço ou ao usuário? Quanto e com que prova?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V — programa de integridade</w:t>
            </w:r>
          </w:p>
        </w:tc>
        <w:tc>
          <w:tcPr>
            <w:tcW w:w="4680" w:type="dxa"/>
          </w:tcPr>
          <w:p>
            <w:pPr/>
            <w:r>
              <w:t xml:space="preserve">A empresa tem programa implantado ou aperfeiçoado, com efetividade demonstrada?</w:t>
            </w:r>
          </w:p>
        </w:tc>
      </w:tr>
    </w:tbl>
    <w:p>
      <w:pPr/>
      <w:r>
        <w:t xml:space="preserve">A LINDB acrescenta dois deveres: considerar os antecedentes do infrator e levar em conta, na dosimetria, sanções da mesma natureza já aplicadas pelo mesmo fato (art. 22, §§ 2º e 3º).</w:t>
      </w:r>
    </w:p>
    <w:p>
      <w:pPr>
        <w:pStyle w:val="Heading3"/>
      </w:pPr>
      <w:r>
        <w:t xml:space="preserve">7.2 Roteiro em seis etapas</w:t>
      </w:r>
    </w:p>
    <w:p>
      <w:pPr>
        <w:pStyle w:val="ListParagraph"/>
        <w:numPr>
          <w:ilvl w:val="0"/>
          <w:numId w:val="7"/>
        </w:numPr>
      </w:pPr>
      <w:r>
        <w:rPr>
          <w:b/>
        </w:rPr>
        <w:t xml:space="preserve">Enquadrar.</w:t>
      </w:r>
      <w:r>
        <w:t xml:space="preserve"> Identifique o inciso do art. 155 e a cláusula do edital ou contrato violada.</w:t>
      </w:r>
    </w:p>
    <w:p>
      <w:pPr>
        <w:pStyle w:val="ListParagraph"/>
        <w:numPr>
          <w:ilvl w:val="0"/>
          <w:numId w:val="7"/>
        </w:numPr>
      </w:pPr>
      <w:r>
        <w:rPr>
          <w:b/>
        </w:rPr>
        <w:t xml:space="preserve">Escolher a espécie.</w:t>
      </w:r>
      <w:r>
        <w:t xml:space="preserve"> Use a matriz da seção 5.1 e explique por que a sanção mais branda não basta.</w:t>
      </w:r>
    </w:p>
    <w:p>
      <w:pPr>
        <w:pStyle w:val="ListParagraph"/>
        <w:numPr>
          <w:ilvl w:val="0"/>
          <w:numId w:val="7"/>
        </w:numPr>
      </w:pPr>
      <w:r>
        <w:rPr>
          <w:b/>
        </w:rPr>
        <w:t xml:space="preserve">Fixar a pena-base.</w:t>
      </w:r>
      <w:r>
        <w:t xml:space="preserve"> Situe a conduta com fatos do caso (duração e essencialidade do contrato, prejuízo, custo e prazo da substituição), usando a tabela 7.3 como referência. A pena-base pode ficar fora da faixa, com motivação.</w:t>
      </w:r>
    </w:p>
    <w:p>
      <w:pPr>
        <w:pStyle w:val="ListParagraph"/>
        <w:numPr>
          <w:ilvl w:val="0"/>
          <w:numId w:val="7"/>
        </w:numPr>
      </w:pPr>
      <w:r>
        <w:rPr>
          <w:b/>
        </w:rPr>
        <w:t xml:space="preserve">Ajustar.</w:t>
      </w:r>
      <w:r>
        <w:t xml:space="preserve"> Aplique agravantes e atenuantes provadas, cada uma valendo um sexto da pena-base, sem usar como agravante o que é elemento do tipo ou já justificou a espécie de sanção (seção 7.4).</w:t>
      </w:r>
    </w:p>
    <w:p>
      <w:pPr>
        <w:pStyle w:val="ListParagraph"/>
        <w:numPr>
          <w:ilvl w:val="0"/>
          <w:numId w:val="7"/>
        </w:numPr>
      </w:pPr>
      <w:r>
        <w:rPr>
          <w:b/>
        </w:rPr>
        <w:t xml:space="preserve">Conferir limites.</w:t>
      </w:r>
      <w:r>
        <w:t xml:space="preserve"> Multa entre 0,5% e 30%; até 5% se aplicada pela fiscalização; impedimento até 36 meses; inidoneidade entre 36 e 72 meses. Resultado fora dos limites legais fica no limite. Atenuantes não reduzem a pena abaixo do mínimo legal: quando a base estiver no mínimo, registre que foram consideradas e por que não alteram o resultado.</w:t>
      </w:r>
    </w:p>
    <w:p>
      <w:pPr>
        <w:pStyle w:val="ListParagraph"/>
        <w:numPr>
          <w:ilvl w:val="0"/>
          <w:numId w:val="7"/>
        </w:numPr>
      </w:pPr>
      <w:r>
        <w:rPr>
          <w:b/>
        </w:rPr>
        <w:t xml:space="preserve">Motivar.</w:t>
      </w:r>
      <w:r>
        <w:t xml:space="preserve"> Um parágrafo por critério, o cálculo por extenso e as consequências práticas da decisão (LINDB, art. 20).</w:t>
      </w:r>
    </w:p>
    <w:p>
      <w:pPr/>
      <w:r>
        <w:t xml:space="preserve">A etapa 4 se resume em uma fórmula, respeitados os limites da etapa 5:</w:t>
      </w:r>
    </w:p>
    <w:p>
      <w:pPr>
        <w:pStyle w:val="Code"/>
      </w:pPr>
      <w:bookmarkStart w:id="1" w:name="bongo_lang_latex_1"/>
      <w:bookmarkEnd w:id="1"/>
      <w:r>
        <w:t xml:space="preserve">P_{final} = P_{base} \times \left(1 + \frac{n_{agravantes} - n_{atenuantes}}{6}\right)</w:t>
      </w:r>
    </w:p>
    <w:p>
      <w:pPr/>
      <w:r>
        <w:drawing>
          <wp:inline distT="0" distB="0" distL="0" distR="0">
            <wp:extent cx="5486400" cy="3086100"/>
            <wp:docPr id="3" name="image3" descr="Balança da dosimetria: a pena-base na coluna, três agravantes de mais um sexto no prato que desce e uma atenuante de menos um sexto no prato que sobe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Balança da dosimetria: a pena-base na coluna, três agravantes de mais um sexto no prato que desce e uma atenuante de menos um sexto no prato que sob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rPr>
          <w:b/>
        </w:rPr>
        <w:t xml:space="preserve">Multa com percentual fixo no edital.</w:t>
      </w:r>
      <w:r>
        <w:t xml:space="preserve"> Se a cláusula fixa um percentual único (por exemplo, 20% por inexecução total), a dosimetria não altera esse percentual; ela justifica a escolha da sanção e a cumulação. A fórmula só opera sobre a multa quando o edital traz uma faixa. Se a multa final superar 5% do valor contratado, quem decide é o Superintendente.</w:t>
      </w:r>
    </w:p>
    <w:p>
      <w:pPr>
        <w:pStyle w:val="Heading3"/>
      </w:pPr>
      <w:r>
        <w:t xml:space="preserve">7.3 Faixas de referência para a pena-base</w:t>
      </w:r>
    </w:p>
    <w:p>
      <w:pPr/>
      <w:r>
        <w:t xml:space="preserve">As faixas não vinculam. A pena-base é fixada no caso concreto, pelos critérios do art. 156, § 1º, e pode ficar abaixo ou acima da faixa, com motivação. Para o impedimento, a lei não fixa mínimo: os números abaixo são pontos de partida, não pisos. A multa só pode ser aplicada na forma prevista no edital ou no contrato (art. 156, § 3º); a coluna de multa serve de modelo para os editais futuros da SUGESP, onde passa a vincular contratualmente.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  <w:shd w:val="clear" w:color="auto" w:fill="F2F2F2"/>
          </w:tcPr>
          <w:p>
            <w:pPr/>
            <w:r>
              <w:t xml:space="preserve">Infração (art. 155)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Impedimento (meses)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Inidoneidade (meses)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Multa compensatória de referência para editais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I — inexecução parcial</w:t>
            </w:r>
          </w:p>
        </w:tc>
        <w:tc>
          <w:tcPr>
            <w:tcW w:w="2340" w:type="dxa"/>
          </w:tcPr>
          <w:p>
            <w:pPr/>
            <w:r>
              <w:t xml:space="preserve">Não cabe</w:t>
            </w:r>
          </w:p>
        </w:tc>
        <w:tc>
          <w:tcPr>
            <w:tcW w:w="2340" w:type="dxa"/>
          </w:tcPr>
          <w:p>
            <w:pPr/>
            <w:r>
              <w:t xml:space="preserve">Não cabe</w:t>
            </w:r>
          </w:p>
        </w:tc>
        <w:tc>
          <w:tcPr>
            <w:tcW w:w="2340" w:type="dxa"/>
          </w:tcPr>
          <w:p>
            <w:pPr/>
            <w:r>
              <w:t xml:space="preserve">1% a 10% da parcela inadimplida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II — inexecução parcial com grave dano</w:t>
            </w:r>
          </w:p>
        </w:tc>
        <w:tc>
          <w:tcPr>
            <w:tcW w:w="2340" w:type="dxa"/>
          </w:tcPr>
          <w:p>
            <w:pPr/>
            <w:r>
              <w:t xml:space="preserve">12 a 24</w:t>
            </w:r>
          </w:p>
        </w:tc>
        <w:tc>
          <w:tcPr>
            <w:tcW w:w="2340" w:type="dxa"/>
          </w:tcPr>
          <w:p>
            <w:pPr/>
            <w:r>
              <w:t xml:space="preserve">36 a 48, se justificada</w:t>
            </w:r>
          </w:p>
        </w:tc>
        <w:tc>
          <w:tcPr>
            <w:tcW w:w="2340" w:type="dxa"/>
          </w:tcPr>
          <w:p>
            <w:pPr/>
            <w:r>
              <w:t xml:space="preserve">10% a 20% da parcela inadimplida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III — inexecução total</w:t>
            </w:r>
          </w:p>
        </w:tc>
        <w:tc>
          <w:tcPr>
            <w:tcW w:w="2340" w:type="dxa"/>
          </w:tcPr>
          <w:p>
            <w:pPr/>
            <w:r>
              <w:t xml:space="preserve">18 a 36</w:t>
            </w:r>
          </w:p>
        </w:tc>
        <w:tc>
          <w:tcPr>
            <w:tcW w:w="2340" w:type="dxa"/>
          </w:tcPr>
          <w:p>
            <w:pPr/>
            <w:r>
              <w:t xml:space="preserve">36 a 48, se justificada</w:t>
            </w:r>
          </w:p>
        </w:tc>
        <w:tc>
          <w:tcPr>
            <w:tcW w:w="2340" w:type="dxa"/>
          </w:tcPr>
          <w:p>
            <w:pPr/>
            <w:r>
              <w:t xml:space="preserve">15% a 30% do valor do contrato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IV — não entregar documentação do certame</w:t>
            </w:r>
          </w:p>
        </w:tc>
        <w:tc>
          <w:tcPr>
            <w:tcW w:w="2340" w:type="dxa"/>
          </w:tcPr>
          <w:p>
            <w:pPr/>
            <w:r>
              <w:t xml:space="preserve">2 a 6</w:t>
            </w:r>
          </w:p>
        </w:tc>
        <w:tc>
          <w:tcPr>
            <w:tcW w:w="2340" w:type="dxa"/>
          </w:tcPr>
          <w:p>
            <w:pPr/>
            <w:r>
              <w:t xml:space="preserve">Excepcional</w:t>
            </w:r>
          </w:p>
        </w:tc>
        <w:tc>
          <w:tcPr>
            <w:tcW w:w="2340" w:type="dxa"/>
          </w:tcPr>
          <w:p>
            <w:pPr/>
            <w:r>
              <w:t xml:space="preserve">0,5% a 5% do valor licitado do item ou lote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V — não manter a proposta</w:t>
            </w:r>
          </w:p>
        </w:tc>
        <w:tc>
          <w:tcPr>
            <w:tcW w:w="2340" w:type="dxa"/>
          </w:tcPr>
          <w:p>
            <w:pPr/>
            <w:r>
              <w:t xml:space="preserve">3 a 6</w:t>
            </w:r>
          </w:p>
        </w:tc>
        <w:tc>
          <w:tcPr>
            <w:tcW w:w="2340" w:type="dxa"/>
          </w:tcPr>
          <w:p>
            <w:pPr/>
            <w:r>
              <w:t xml:space="preserve">Excepcional</w:t>
            </w:r>
          </w:p>
        </w:tc>
        <w:tc>
          <w:tcPr>
            <w:tcW w:w="2340" w:type="dxa"/>
          </w:tcPr>
          <w:p>
            <w:pPr/>
            <w:r>
              <w:t xml:space="preserve">0,5% a 5% do valor licitado do item ou lote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VI — não assinar o contrato</w:t>
            </w:r>
          </w:p>
        </w:tc>
        <w:tc>
          <w:tcPr>
            <w:tcW w:w="2340" w:type="dxa"/>
          </w:tcPr>
          <w:p>
            <w:pPr/>
            <w:r>
              <w:t xml:space="preserve">4 a 12</w:t>
            </w:r>
          </w:p>
        </w:tc>
        <w:tc>
          <w:tcPr>
            <w:tcW w:w="2340" w:type="dxa"/>
          </w:tcPr>
          <w:p>
            <w:pPr/>
            <w:r>
              <w:t xml:space="preserve">Excepcional</w:t>
            </w:r>
          </w:p>
        </w:tc>
        <w:tc>
          <w:tcPr>
            <w:tcW w:w="2340" w:type="dxa"/>
          </w:tcPr>
          <w:p>
            <w:pPr/>
            <w:r>
              <w:t xml:space="preserve">5% a 10% do valor adjudicado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VII — retardamento injustificado</w:t>
            </w:r>
          </w:p>
        </w:tc>
        <w:tc>
          <w:tcPr>
            <w:tcW w:w="2340" w:type="dxa"/>
          </w:tcPr>
          <w:p>
            <w:pPr/>
            <w:r>
              <w:t xml:space="preserve">4 a 12</w:t>
            </w:r>
          </w:p>
        </w:tc>
        <w:tc>
          <w:tcPr>
            <w:tcW w:w="2340" w:type="dxa"/>
          </w:tcPr>
          <w:p>
            <w:pPr/>
            <w:r>
              <w:t xml:space="preserve">Excepcional</w:t>
            </w:r>
          </w:p>
        </w:tc>
        <w:tc>
          <w:tcPr>
            <w:tcW w:w="2340" w:type="dxa"/>
          </w:tcPr>
          <w:p>
            <w:pPr/>
            <w:r>
              <w:t xml:space="preserve">Mora diária definida no edital, limitada a 30%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VIII — documento ou declaração falsa</w:t>
            </w:r>
          </w:p>
        </w:tc>
        <w:tc>
          <w:tcPr>
            <w:tcW w:w="2340" w:type="dxa"/>
          </w:tcPr>
          <w:p>
            <w:pPr/>
            <w:r>
              <w:t xml:space="preserve">Não cabe</w:t>
            </w:r>
          </w:p>
        </w:tc>
        <w:tc>
          <w:tcPr>
            <w:tcW w:w="2340" w:type="dxa"/>
          </w:tcPr>
          <w:p>
            <w:pPr/>
            <w:r>
              <w:t xml:space="preserve">36 a 48</w:t>
            </w:r>
          </w:p>
        </w:tc>
        <w:tc>
          <w:tcPr>
            <w:tcW w:w="2340" w:type="dxa"/>
          </w:tcPr>
          <w:p>
            <w:pPr/>
            <w:r>
              <w:t xml:space="preserve">10% a 20% do valor licitado ou contratado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IX — fraude</w:t>
            </w:r>
          </w:p>
        </w:tc>
        <w:tc>
          <w:tcPr>
            <w:tcW w:w="2340" w:type="dxa"/>
          </w:tcPr>
          <w:p>
            <w:pPr/>
            <w:r>
              <w:t xml:space="preserve">Não cabe</w:t>
            </w:r>
          </w:p>
        </w:tc>
        <w:tc>
          <w:tcPr>
            <w:tcW w:w="2340" w:type="dxa"/>
          </w:tcPr>
          <w:p>
            <w:pPr/>
            <w:r>
              <w:t xml:space="preserve">48 a 72</w:t>
            </w:r>
          </w:p>
        </w:tc>
        <w:tc>
          <w:tcPr>
            <w:tcW w:w="2340" w:type="dxa"/>
          </w:tcPr>
          <w:p>
            <w:pPr/>
            <w:r>
              <w:t xml:space="preserve">20% a 30%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X — conduta inidônea ou fraude de qualquer natureza</w:t>
            </w:r>
          </w:p>
        </w:tc>
        <w:tc>
          <w:tcPr>
            <w:tcW w:w="2340" w:type="dxa"/>
          </w:tcPr>
          <w:p>
            <w:pPr/>
            <w:r>
              <w:t xml:space="preserve">Não cabe</w:t>
            </w:r>
          </w:p>
        </w:tc>
        <w:tc>
          <w:tcPr>
            <w:tcW w:w="2340" w:type="dxa"/>
          </w:tcPr>
          <w:p>
            <w:pPr/>
            <w:r>
              <w:t xml:space="preserve">36 a 60</w:t>
            </w:r>
          </w:p>
        </w:tc>
        <w:tc>
          <w:tcPr>
            <w:tcW w:w="2340" w:type="dxa"/>
          </w:tcPr>
          <w:p>
            <w:pPr/>
            <w:r>
              <w:t xml:space="preserve">10% a 30%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XI — frustrar os objetivos da licitação</w:t>
            </w:r>
          </w:p>
        </w:tc>
        <w:tc>
          <w:tcPr>
            <w:tcW w:w="2340" w:type="dxa"/>
          </w:tcPr>
          <w:p>
            <w:pPr/>
            <w:r>
              <w:t xml:space="preserve">Não cabe</w:t>
            </w:r>
          </w:p>
        </w:tc>
        <w:tc>
          <w:tcPr>
            <w:tcW w:w="2340" w:type="dxa"/>
          </w:tcPr>
          <w:p>
            <w:pPr/>
            <w:r>
              <w:t xml:space="preserve">48 a 72</w:t>
            </w:r>
          </w:p>
        </w:tc>
        <w:tc>
          <w:tcPr>
            <w:tcW w:w="2340" w:type="dxa"/>
          </w:tcPr>
          <w:p>
            <w:pPr/>
            <w:r>
              <w:t xml:space="preserve">20% a 30%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XII — ato lesivo da Lei 12.846</w:t>
            </w:r>
          </w:p>
        </w:tc>
        <w:tc>
          <w:tcPr>
            <w:tcW w:w="2340" w:type="dxa"/>
          </w:tcPr>
          <w:p>
            <w:pPr/>
            <w:r>
              <w:t xml:space="preserve">Não cabe</w:t>
            </w:r>
          </w:p>
        </w:tc>
        <w:tc>
          <w:tcPr>
            <w:tcW w:w="2340" w:type="dxa"/>
          </w:tcPr>
          <w:p>
            <w:pPr/>
            <w:r>
              <w:t xml:space="preserve">48 a 72</w:t>
            </w:r>
          </w:p>
        </w:tc>
        <w:tc>
          <w:tcPr>
            <w:tcW w:w="2340" w:type="dxa"/>
          </w:tcPr>
          <w:p>
            <w:pPr/>
            <w:r>
              <w:t xml:space="preserve">20% a 30%, sem prejuízo do PAR</w:t>
            </w:r>
          </w:p>
        </w:tc>
      </w:tr>
    </w:tbl>
    <w:p>
      <w:pPr/>
      <w:r>
        <w:t xml:space="preserve">Em qualquer caso, a multa compensatória não será inferior a 0,5% nem superior a 30% do valor do contrato (art. 156, § 3º). Se o cálculo sobre a parcela inadimplida ficar abaixo do piso, aplica-se o piso. Nos incisos VIII, IX, XI e XII, quando o fato também for ato lesivo, quem dosa é a autoridade do PAR (seção 17.1); a tabela serve apenas de referência.</w:t>
      </w:r>
    </w:p>
    <w:p>
      <w:pPr>
        <w:pStyle w:val="Heading3"/>
      </w:pPr>
      <w:r>
        <w:t xml:space="preserve">7.4 Agravantes e atenuantes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2F2"/>
          </w:tcPr>
          <w:p>
            <w:pPr/>
            <w:r>
              <w:t xml:space="preserve">Agravantes (cada uma: mais 1/6)</w:t>
            </w:r>
          </w:p>
        </w:tc>
        <w:tc>
          <w:tcPr>
            <w:tcW w:w="4680" w:type="dxa"/>
            <w:shd w:val="clear" w:color="auto" w:fill="F2F2F2"/>
          </w:tcPr>
          <w:p>
            <w:pPr/>
            <w:r>
              <w:t xml:space="preserve">Atenuantes (cada uma: menos 1/6)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Reincidência: nova infração após sanção definitiva nos 5 anos anteriores</w:t>
            </w:r>
          </w:p>
        </w:tc>
        <w:tc>
          <w:tcPr>
            <w:tcW w:w="4680" w:type="dxa"/>
          </w:tcPr>
          <w:p>
            <w:pPr/>
            <w:r>
              <w:t xml:space="preserve">Bons antecedentes documentados, como avaliação de desempenho positiva (art. 88, § 3º)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Descumprimento de notificação prévia para corrigir a falha, quando não for o próprio fato que caracteriza a infração</w:t>
            </w:r>
          </w:p>
        </w:tc>
        <w:tc>
          <w:tcPr>
            <w:tcW w:w="4680" w:type="dxa"/>
          </w:tcPr>
          <w:p>
            <w:pPr/>
            <w:r>
              <w:t xml:space="preserve">Regularização espontânea antes da intimação para defesa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Conluio com outros licitantes ou com agente público</w:t>
            </w:r>
          </w:p>
        </w:tc>
        <w:tc>
          <w:tcPr>
            <w:tcW w:w="4680" w:type="dxa"/>
          </w:tcPr>
          <w:p>
            <w:pPr/>
            <w:r>
              <w:t xml:space="preserve">Reparação integral do dano antes da decisão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Ocultação de informações ou obstrução da fiscalização ou da instrução</w:t>
            </w:r>
          </w:p>
        </w:tc>
        <w:tc>
          <w:tcPr>
            <w:tcW w:w="4680" w:type="dxa"/>
          </w:tcPr>
          <w:p>
            <w:pPr/>
            <w:r>
              <w:t xml:space="preserve">Colaboração efetiva para esclarecer os fatos ou confissão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Documento falso apresentado no próprio processo sancionatório</w:t>
            </w:r>
          </w:p>
        </w:tc>
        <w:tc>
          <w:tcPr>
            <w:tcW w:w="4680" w:type="dxa"/>
          </w:tcPr>
          <w:p>
            <w:pPr/>
            <w:r>
              <w:t xml:space="preserve">Cumprimento substancial do objeto, sem prejuízo relevante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Vantagem econômica obtida ou pretendida com a infração</w:t>
            </w:r>
          </w:p>
        </w:tc>
        <w:tc>
          <w:tcPr>
            <w:tcW w:w="4680" w:type="dxa"/>
          </w:tcPr>
          <w:p>
            <w:pPr/>
            <w:r>
              <w:t xml:space="preserve">Programa de integridade efetivo e proporcional ao porte da empresa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Pluralidade de infrações no mesmo contrato, apuradas em conjunto</w:t>
            </w:r>
          </w:p>
        </w:tc>
        <w:tc>
          <w:tcPr>
            <w:tcW w:w="4680" w:type="dxa"/>
          </w:tcPr>
          <w:p>
            <w:pPr/>
            <w:r>
              <w:t xml:space="preserve">Dificuldade comprovada alheia à empresa que, sem excluir a infração, a explique em parte</w:t>
            </w:r>
          </w:p>
        </w:tc>
      </w:tr>
    </w:tbl>
    <w:p>
      <w:pPr/>
      <w:r>
        <w:rPr>
          <w:b/>
        </w:rPr>
        <w:t xml:space="preserve">Vedação de dupla valoração.</w:t>
      </w:r>
      <w:r>
        <w:t xml:space="preserve"> Nenhuma circunstância que seja elemento do tipo, ou que tenha justificado a espécie de sanção ou a posição na faixa, pode servir também de agravante. Exemplos: grave dano (inciso II), falsidade (VIII), conluio (XI e fraude por conluio), vantagem indevida (IX e XII) e notificação descumprida quando é ela que caracteriza a inexecução. O dano só agrava quando excede o que o próprio tipo pressupõe.</w:t>
      </w:r>
    </w:p>
    <w:p>
      <w:pPr/>
      <w:r>
        <w:rPr>
          <w:b/>
        </w:rPr>
        <w:t xml:space="preserve">Antecedentes.</w:t>
      </w:r>
      <w:r>
        <w:t xml:space="preserve"> O TCE-RO, ao dosar as multas que aplica, considera antecedentes dos últimos cinco anos (Acórdão APL-TC 00124/25, Pleno). O manual adota o mesmo marco para a reincidência. A simples ausência de sanções anteriores é neutra: não agrava nem atenua.</w:t>
      </w:r>
    </w:p>
    <w:p>
      <w:pPr>
        <w:pStyle w:val="Heading3"/>
      </w:pPr>
      <w:r>
        <w:t xml:space="preserve">7.5 Concurso de infrações</w:t>
      </w:r>
    </w:p>
    <w:p>
      <w:pPr>
        <w:pStyle w:val="ListParagraph"/>
        <w:numPr>
          <w:ilvl w:val="0"/>
          <w:numId w:val="8"/>
        </w:numPr>
      </w:pPr>
      <w:r>
        <w:rPr>
          <w:b/>
        </w:rPr>
        <w:t xml:space="preserve">Fatos distintos no mesmo contrato.</w:t>
      </w:r>
      <w:r>
        <w:t xml:space="preserve"> Apure-os no mesmo processo. Aplique a sanção restritiva pela infração mais grave e valore as demais como agravante. Multas previstas por ocorrência podem somar-se, respeitado o teto de 30%.</w:t>
      </w:r>
    </w:p>
    <w:p>
      <w:pPr>
        <w:pStyle w:val="ListParagraph"/>
        <w:numPr>
          <w:ilvl w:val="0"/>
          <w:numId w:val="8"/>
        </w:numPr>
      </w:pPr>
      <w:r>
        <w:rPr>
          <w:b/>
        </w:rPr>
        <w:t xml:space="preserve">Infração continuada.</w:t>
      </w:r>
      <w:r>
        <w:t xml:space="preserve"> Para a sanção restritiva, atrasos repetidos da mesma natureza no mesmo contrato são valorados como uma infração, com agravante. A multa segue a unidade de incidência do contrato (por dia ou por ocorrência), respeitado o teto de 30%.</w:t>
      </w:r>
    </w:p>
    <w:p>
      <w:pPr>
        <w:pStyle w:val="ListParagraph"/>
        <w:numPr>
          <w:ilvl w:val="0"/>
          <w:numId w:val="8"/>
        </w:numPr>
      </w:pPr>
      <w:r>
        <w:rPr>
          <w:b/>
        </w:rPr>
        <w:t xml:space="preserve">Mora recorrente.</w:t>
      </w:r>
      <w:r>
        <w:t xml:space="preserve"> Nos contratos com atrasos frequentes (emissão de bilhetes, entrega de veículos, abastecimento), consolide as ocorrências em processo periódico, mensal ou trimestral, com uma linha por ocorrência na matriz e a data de ciência de cada uma para fins de prescrição.</w:t>
      </w:r>
    </w:p>
    <w:p>
      <w:pPr>
        <w:pStyle w:val="ListParagraph"/>
        <w:numPr>
          <w:ilvl w:val="0"/>
          <w:numId w:val="8"/>
        </w:numPr>
      </w:pPr>
      <w:r>
        <w:rPr>
          <w:b/>
        </w:rPr>
        <w:t xml:space="preserve">Contratos diferentes.</w:t>
      </w:r>
      <w:r>
        <w:t xml:space="preserve"> Cada contrato gera seu processo. Se sobrevier nova sanção restritiva durante outra, os prazos se somam (Dec. 28.874, art. 186, p.ú., IV).</w:t>
      </w:r>
    </w:p>
    <w:p>
      <w:pPr>
        <w:pStyle w:val="Heading3"/>
      </w:pPr>
      <w:r>
        <w:t xml:space="preserve">7.6 Exemplo resolvido</w:t>
      </w:r>
    </w:p>
    <w:p>
      <w:pPr/>
      <w:r>
        <w:t xml:space="preserve">Locadora contratada por 12 meses para fornecer 40 veículos de apoio administrativo não inicia a execução, e o contrato é extinto. Valor do contrato: R$ 1.200.000,00. Edital: multa compensatória de 20% por inexecução total. O remanescente foi contratado em 25 dias, 6% mais caro. Durante a fiscalização, a empresa informou que os veículos estavam em preparação quando já os havia cedido a outro cliente. Não há sanções anteriores, o que é neutro.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2F2"/>
          </w:tcPr>
          <w:p>
            <w:pPr/>
            <w:r>
              <w:t xml:space="preserve">Etapa</w:t>
            </w:r>
          </w:p>
        </w:tc>
        <w:tc>
          <w:tcPr>
            <w:tcW w:w="4680" w:type="dxa"/>
            <w:shd w:val="clear" w:color="auto" w:fill="F2F2F2"/>
          </w:tcPr>
          <w:p>
            <w:pPr/>
            <w:r>
              <w:t xml:space="preserve">Resultado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Enquadramento</w:t>
            </w:r>
          </w:p>
        </w:tc>
        <w:tc>
          <w:tcPr>
            <w:tcW w:w="4680" w:type="dxa"/>
          </w:tcPr>
          <w:p>
            <w:pPr/>
            <w:r>
              <w:t xml:space="preserve">Art. 155, III (inexecução total) e cláusula de sanções do contrato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Espécie e rito</w:t>
            </w:r>
          </w:p>
        </w:tc>
        <w:tc>
          <w:tcPr>
            <w:tcW w:w="4680" w:type="dxa"/>
          </w:tcPr>
          <w:p>
            <w:pPr/>
            <w:r>
              <w:t xml:space="preserve">Multa e impedimento, em processo com comissão; inidoneidade afastada por ausência de fraude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Pena-base do impedimento</w:t>
            </w:r>
          </w:p>
        </w:tc>
        <w:tc>
          <w:tcPr>
            <w:tcW w:w="4680" w:type="dxa"/>
          </w:tcPr>
          <w:p>
            <w:pPr/>
            <w:r>
              <w:t xml:space="preserve">18 meses: serviço de apoio, sem paralisação de atividade essencial; substituição em 25 dias com custo adicional de 6%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Ajuste</w:t>
            </w:r>
          </w:p>
        </w:tc>
        <w:tc>
          <w:tcPr>
            <w:tcW w:w="4680" w:type="dxa"/>
          </w:tcPr>
          <w:p>
            <w:pPr/>
            <w:r>
              <w:t xml:space="preserve">Agravante: ocultação de informação à fiscalização (+1/6, ou +3 meses). As notificações descumpridas não agravam, porque são o meio de caracterizar a inexecução total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Pena final</w:t>
            </w:r>
          </w:p>
        </w:tc>
        <w:tc>
          <w:tcPr>
            <w:tcW w:w="4680" w:type="dxa"/>
          </w:tcPr>
          <w:p>
            <w:pPr/>
            <w:r>
              <w:t xml:space="preserve">21 meses de impedimento no âmbito do Estado de Rondônia, dentro do máximo de 36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Multa</w:t>
            </w:r>
          </w:p>
        </w:tc>
        <w:tc>
          <w:tcPr>
            <w:tcW w:w="4680" w:type="dxa"/>
          </w:tcPr>
          <w:p>
            <w:pPr/>
            <w:r>
              <w:t xml:space="preserve">20% × R$ 1.200.000,00 = R$ 240.000,00, percentual fixo do edital e dentro do intervalo de 0,5% a 30%; acima de 5%, decide o Superintendente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Cobrança</w:t>
            </w:r>
          </w:p>
        </w:tc>
        <w:tc>
          <w:tcPr>
            <w:tcW w:w="4680" w:type="dxa"/>
          </w:tcPr>
          <w:p>
            <w:pPr/>
            <w:r>
              <w:t xml:space="preserve">Desconto dos créditos pendentes do contrato; a diferença, da garantia; o saldo, à PGE para dívida ativa</w:t>
            </w:r>
          </w:p>
        </w:tc>
      </w:tr>
    </w:tbl>
    <w:p>
      <w:pPr>
        <w:pStyle w:val="Heading2"/>
      </w:pPr>
      <w:r>
        <w:t xml:space="preserve">8. Visão geral do rito</w:t>
      </w:r>
    </w:p>
    <w:p>
      <w:pPr/>
      <w:r>
        <w:t xml:space="preserve">Todo caso passa pela mesma escolha, feita no próprio ato que abre o processo, e se divide conforme a sanção em tese. Os dois ritos se reencontram no recurso e terminam no registro.</w:t>
      </w:r>
    </w:p>
    <w:p>
      <w:pPr/>
      <w:r>
        <w:drawing>
          <wp:inline distT="0" distB="0" distL="0" distR="0">
            <wp:extent cx="5486400" cy="6980464"/>
            <wp:docPr id="4" name="image4" descr="fluxo do processo sancionatório · 2 ritos, 1 escolha no ato de abertura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 descr="fluxo do processo sancionatório · 2 ritos, 1 escolha no ato de abertura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8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fluxo do processo sancionatório · 2 ritos, 1 escolha no ato de abertura</w:t>
      </w:r>
    </w:p>
    <w:p>
      <w:pPr/>
      <w:r>
        <w:t xml:space="preserve">Quem abre o processo decide entre arquivar, seguir o rito simplificado (advertência e multa), instaurar comissão (impedimento e inidoneidade) ou remeter à CGE, quando o fato também for ato lesivo da Lei 12.846 (seção 17.1). Se a instrução do rito simplificado revelar fato mais grave, o processo é convertido, com nova intimação.</w:t>
      </w:r>
    </w:p>
    <w:p>
      <w:pPr>
        <w:pStyle w:val="Heading3"/>
      </w:pPr>
      <w:r>
        <w:t xml:space="preserve">8.1 Os dois ritos lado a lado</w:t>
      </w:r>
    </w:p>
    <w:p>
      <w:pPr/>
      <w:r>
        <w:t xml:space="preserve">A SUGESP tem dois caminhos para punir uma empresa pela Lei 14.133: o </w:t>
      </w:r>
      <w:r>
        <w:rPr>
          <w:b/>
        </w:rPr>
        <w:t xml:space="preserve">rito sumário</w:t>
      </w:r>
      <w:r>
        <w:t xml:space="preserve">, que é o rito simplificado do art. 185 do Decreto 28.874/2024, para advertência e multa, e o </w:t>
      </w:r>
      <w:r>
        <w:rPr>
          <w:b/>
        </w:rPr>
        <w:t xml:space="preserve">processo com comissão</w:t>
      </w:r>
      <w:r>
        <w:t xml:space="preserve"> (art. 158 da Lei 14.133 e art. 186 do decreto), obrigatório sempre que se cogita impedimento ou inidoneidade. O critério é um só: abra a comissão quando, confirmados os fatos já documentados, você proporia impedimento ou inidoneidade segundo a tabela 7.3. Se a proposta seria só advertência ou multa, abra o rito sumário e registre no despacho por que a sanção restritiva seria desproporcional. Na dúvida razoável, comissão.</w:t>
      </w:r>
    </w:p>
    <w:p>
      <w:pPr/>
      <w:r>
        <w:t xml:space="preserve">Há um terceiro caminho, fora da SUGESP: se o fato também for ato lesivo da Lei 12.846, os autos vão à CGE, que conduz o PAR (seção 17.1). Nos atos formais, escreva "rito simplificado (art. 185 do Decreto 28.874/2024)"; "rito sumário" é apelido didático.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Rito sumário (simplificado)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Processo com comissão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Para que serve</w:t>
            </w:r>
          </w:p>
        </w:tc>
        <w:tc>
          <w:tcPr>
            <w:tcW w:w="3120" w:type="dxa"/>
          </w:tcPr>
          <w:p>
            <w:pPr/>
            <w:r>
              <w:t xml:space="preserve">Advertência e multa, isoladas ou juntas</w:t>
            </w:r>
          </w:p>
        </w:tc>
        <w:tc>
          <w:tcPr>
            <w:tcW w:w="3120" w:type="dxa"/>
          </w:tcPr>
          <w:p>
            <w:pPr/>
            <w:r>
              <w:t xml:space="preserve">Impedimento de licitar e contratar ou declaração de inidoneidade, com ou sem multa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Infrações típicas</w:t>
            </w:r>
          </w:p>
        </w:tc>
        <w:tc>
          <w:tcPr>
            <w:tcW w:w="3120" w:type="dxa"/>
          </w:tcPr>
          <w:p>
            <w:pPr/>
            <w:r>
              <w:t xml:space="preserve">Inexecução parcial sem grave dano (art. 155, I); atrasos pontuais (multa de mora); incisos IV a VII quando bastar a multa</w:t>
            </w:r>
          </w:p>
        </w:tc>
        <w:tc>
          <w:tcPr>
            <w:tcW w:w="3120" w:type="dxa"/>
          </w:tcPr>
          <w:p>
            <w:pPr/>
            <w:r>
              <w:t xml:space="preserve">Grave dano, inexecução total, recusa em assinar, desistência de proposta, retardamento grave, documento falso não usado para fraudar o certame (art. 155, II a VIII e X)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Peça que abre</w:t>
            </w:r>
          </w:p>
        </w:tc>
        <w:tc>
          <w:tcPr>
            <w:tcW w:w="3120" w:type="dxa"/>
          </w:tcPr>
          <w:p>
            <w:pPr/>
            <w:r>
              <w:t xml:space="preserve">Despacho de instauração assinado por quem vai decidir (modelo 21.2)</w:t>
            </w:r>
          </w:p>
        </w:tc>
        <w:tc>
          <w:tcPr>
            <w:tcW w:w="3120" w:type="dxa"/>
          </w:tcPr>
          <w:p>
            <w:pPr/>
            <w:r>
              <w:t xml:space="preserve">Portaria do Superintendente que instaura e designa a comissão (modelo 21.3)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Quem conduz</w:t>
            </w:r>
          </w:p>
        </w:tc>
        <w:tc>
          <w:tcPr>
            <w:tcW w:w="3120" w:type="dxa"/>
          </w:tcPr>
          <w:p>
            <w:pPr/>
            <w:r>
              <w:t xml:space="preserve">Condutor designado no despacho: fiscal, comissão de fiscalização ou servidor da GCONV</w:t>
            </w:r>
          </w:p>
        </w:tc>
        <w:tc>
          <w:tcPr>
            <w:tcW w:w="3120" w:type="dxa"/>
          </w:tcPr>
          <w:p>
            <w:pPr/>
            <w:r>
              <w:t xml:space="preserve">Comissão de 2 ou mais servidores estáveis, sem atuação no fato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Defesa</w:t>
            </w:r>
          </w:p>
        </w:tc>
        <w:tc>
          <w:tcPr>
            <w:tcW w:w="3120" w:type="dxa"/>
          </w:tcPr>
          <w:p>
            <w:pPr/>
            <w:r>
              <w:t xml:space="preserve">15 dias úteis</w:t>
            </w:r>
          </w:p>
        </w:tc>
        <w:tc>
          <w:tcPr>
            <w:tcW w:w="3120" w:type="dxa"/>
          </w:tcPr>
          <w:p>
            <w:pPr/>
            <w:r>
              <w:t xml:space="preserve">15 dias úteis, com especificação das provas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Provas e manifestação final</w:t>
            </w:r>
          </w:p>
        </w:tc>
        <w:tc>
          <w:tcPr>
            <w:tcW w:w="3120" w:type="dxa"/>
          </w:tcPr>
          <w:p>
            <w:pPr/>
            <w:r>
              <w:t xml:space="preserve">Provas da defesa; manifestação final sempre, em 10 dias úteis (Lei 3.830, art. 62)</w:t>
            </w:r>
          </w:p>
        </w:tc>
        <w:tc>
          <w:tcPr>
            <w:tcW w:w="3120" w:type="dxa"/>
          </w:tcPr>
          <w:p>
            <w:pPr/>
            <w:r>
              <w:t xml:space="preserve">Decisão fundamentada sobre cada prova; alegações finais sempre, em 15 dias úteis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Parecer jurídico</w:t>
            </w:r>
          </w:p>
        </w:tc>
        <w:tc>
          <w:tcPr>
            <w:tcW w:w="3120" w:type="dxa"/>
          </w:tcPr>
          <w:p>
            <w:pPr/>
            <w:r>
              <w:t xml:space="preserve">Só se houver dúvida jurídica</w:t>
            </w:r>
          </w:p>
        </w:tc>
        <w:tc>
          <w:tcPr>
            <w:tcW w:w="3120" w:type="dxa"/>
          </w:tcPr>
          <w:p>
            <w:pPr/>
            <w:r>
              <w:t xml:space="preserve">Recomendado no impedimento; obrigatório na inidoneidade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Quem decide</w:t>
            </w:r>
          </w:p>
        </w:tc>
        <w:tc>
          <w:tcPr>
            <w:tcW w:w="3120" w:type="dxa"/>
          </w:tcPr>
          <w:p>
            <w:pPr/>
            <w:r>
              <w:t xml:space="preserve">Fiscalização, se a multa não passar de 5% do valor contratado; nos demais casos, o Superintendente ou delegado (seção 3.2)</w:t>
            </w:r>
          </w:p>
        </w:tc>
        <w:tc>
          <w:tcPr>
            <w:tcW w:w="3120" w:type="dxa"/>
          </w:tcPr>
          <w:p>
            <w:pPr/>
            <w:r>
              <w:t xml:space="preserve">Superintendente; inidoneidade, autoridade com status de Secretário (seção 3.2)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Recurso</w:t>
            </w:r>
          </w:p>
        </w:tc>
        <w:tc>
          <w:tcPr>
            <w:tcW w:w="3120" w:type="dxa"/>
          </w:tcPr>
          <w:p>
            <w:pPr/>
            <w:r>
              <w:t xml:space="preserve">15 dias úteis, efeito suspensivo; sobe ao Superintendente</w:t>
            </w:r>
          </w:p>
        </w:tc>
        <w:tc>
          <w:tcPr>
            <w:tcW w:w="3120" w:type="dxa"/>
          </w:tcPr>
          <w:p>
            <w:pPr/>
            <w:r>
              <w:t xml:space="preserve">Recurso (impedimento), que sobe à autoridade superior, ou pedido de reconsideração (inidoneidade), 15 dias úteis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Prescrição</w:t>
            </w:r>
          </w:p>
        </w:tc>
        <w:tc>
          <w:tcPr>
            <w:tcW w:w="3120" w:type="dxa"/>
          </w:tcPr>
          <w:p>
            <w:pPr/>
            <w:r>
              <w:t xml:space="preserve">Instauração não tem efeito interruptivo garantido</w:t>
            </w:r>
          </w:p>
        </w:tc>
        <w:tc>
          <w:tcPr>
            <w:tcW w:w="3120" w:type="dxa"/>
          </w:tcPr>
          <w:p>
            <w:pPr/>
            <w:r>
              <w:t xml:space="preserve">Instauração interrompe a prescrição (art. 158, § 4º, I)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Duração de referência</w:t>
            </w:r>
          </w:p>
        </w:tc>
        <w:tc>
          <w:tcPr>
            <w:tcW w:w="3120" w:type="dxa"/>
          </w:tcPr>
          <w:p>
            <w:pPr/>
            <w:r>
              <w:t xml:space="preserve">90 dias corridos</w:t>
            </w:r>
          </w:p>
        </w:tc>
        <w:tc>
          <w:tcPr>
            <w:tcW w:w="3120" w:type="dxa"/>
          </w:tcPr>
          <w:p>
            <w:pPr/>
            <w:r>
              <w:t xml:space="preserve">120 dias corridos; 150 na inidoneidade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Modelos</w:t>
            </w:r>
          </w:p>
        </w:tc>
        <w:tc>
          <w:tcPr>
            <w:tcW w:w="3120" w:type="dxa"/>
          </w:tcPr>
          <w:p>
            <w:pPr/>
            <w:r>
              <w:t xml:space="preserve">Tabela de uso no início da seção 21</w:t>
            </w:r>
          </w:p>
        </w:tc>
        <w:tc>
          <w:tcPr>
            <w:tcW w:w="3120" w:type="dxa"/>
          </w:tcPr>
          <w:p>
            <w:pPr/>
            <w:r>
              <w:t xml:space="preserve">Tabela de uso no início da seção 21</w:t>
            </w:r>
          </w:p>
        </w:tc>
      </w:tr>
    </w:tbl>
    <w:p>
      <w:pPr>
        <w:pStyle w:val="Heading3"/>
      </w:pPr>
      <w:r>
        <w:t xml:space="preserve">8.2 Qual rito abrir: três perguntas</w:t>
      </w:r>
    </w:p>
    <w:p>
      <w:pPr/>
      <w:r>
        <w:t xml:space="preserve">Faça as perguntas nesta ordem, com base nos fatos já provados, e registre as respostas no próprio ato que abre o processo: despacho no rito sumário, portaria no processo com comissão.</w:t>
      </w:r>
    </w:p>
    <w:p>
      <w:pPr/>
      <w:r>
        <w:drawing>
          <wp:inline distT="0" distB="0" distL="0" distR="0">
            <wp:extent cx="5486400" cy="4604657"/>
            <wp:docPr id="5" name="image5" descr="qual rito abrir · 3 perguntas, 4 saídas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" descr="qual rito abrir · 3 perguntas, 4 saídas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04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qual rito abrir · 3 perguntas, 4 saídas</w:t>
      </w:r>
    </w:p>
    <w:p>
      <w:pPr/>
      <w:r>
        <w:t xml:space="preserve">As três perguntas, nesta ordem:</w:t>
      </w:r>
    </w:p>
    <w:p>
      <w:pPr>
        <w:pStyle w:val="ListParagraph"/>
        <w:numPr>
          <w:ilvl w:val="0"/>
          <w:numId w:val="9"/>
        </w:numPr>
      </w:pPr>
      <w:r>
        <w:t xml:space="preserve">O fato também é ato lesivo da Lei 12.846 (fraude, conluio, documento falso usado para vencer o certame, vantagem a agente público)? Se sim, remeta à CGE.</w:t>
      </w:r>
    </w:p>
    <w:p>
      <w:pPr>
        <w:pStyle w:val="ListParagraph"/>
        <w:numPr>
          <w:ilvl w:val="0"/>
          <w:numId w:val="9"/>
        </w:numPr>
      </w:pPr>
      <w:r>
        <w:t xml:space="preserve">Confirmados os fatos, você proporia impedimento ou inidoneidade, ou há dúvida razoável? Se sim, comissão.</w:t>
      </w:r>
    </w:p>
    <w:p>
      <w:pPr>
        <w:pStyle w:val="ListParagraph"/>
        <w:numPr>
          <w:ilvl w:val="0"/>
          <w:numId w:val="9"/>
        </w:numPr>
      </w:pPr>
      <w:r>
        <w:t xml:space="preserve">A multa estimada passa de 5% do valor contratado? Se sim, rito sumário com despacho e decisão do Superintendente; se não, rito sumário pela fiscalização.</w:t>
      </w:r>
    </w:p>
    <w:p>
      <w:pPr/>
      <w:r>
        <w:t xml:space="preserve">A pergunta central é a segunda. Os incisos IV a VII admitem impedimento em tese; se optar pelo sumário, registre no despacho por que a sanção restritiva seria desproporcional, por exemplo primeira ocorrência sem prejuízo ao certame ou ao serviço. Se a prescrição estiver a menos de um ano, prefira a comissão.</w:t>
      </w:r>
    </w:p>
    <w:p>
      <w:pPr>
        <w:pStyle w:val="Heading3"/>
      </w:pPr>
      <w:r>
        <w:t xml:space="preserve">8.3 Rito sumário passo a passo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  <w:shd w:val="clear" w:color="auto" w:fill="F2F2F2"/>
          </w:tcPr>
          <w:p>
            <w:pPr/>
            <w:r>
              <w:t xml:space="preserve">Passo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O que fazer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Quem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Prazo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1</w:t>
            </w:r>
          </w:p>
        </w:tc>
        <w:tc>
          <w:tcPr>
            <w:tcW w:w="2340" w:type="dxa"/>
          </w:tcPr>
          <w:p>
            <w:pPr/>
            <w:r>
              <w:t xml:space="preserve">Registrar a ocorrência e, se sanável, notificar para corrigir (modelo 21.1)</w:t>
            </w:r>
          </w:p>
        </w:tc>
        <w:tc>
          <w:tcPr>
            <w:tcW w:w="2340" w:type="dxa"/>
          </w:tcPr>
          <w:p>
            <w:pPr/>
            <w:r>
              <w:t xml:space="preserve">Fiscal</w:t>
            </w:r>
          </w:p>
        </w:tc>
        <w:tc>
          <w:tcPr>
            <w:tcW w:w="2340" w:type="dxa"/>
          </w:tcPr>
          <w:p>
            <w:pPr/>
            <w:r>
              <w:t xml:space="preserve">Na ciência do fato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2</w:t>
            </w:r>
          </w:p>
        </w:tc>
        <w:tc>
          <w:tcPr>
            <w:tcW w:w="2340" w:type="dxa"/>
          </w:tcPr>
          <w:p>
            <w:pPr/>
            <w:r>
              <w:t xml:space="preserve">Representação com matriz de ocorrências, certidão das notificações e memória de multa separada da glosa (modelo 21.10)</w:t>
            </w:r>
          </w:p>
        </w:tc>
        <w:tc>
          <w:tcPr>
            <w:tcW w:w="2340" w:type="dxa"/>
          </w:tcPr>
          <w:p>
            <w:pPr/>
            <w:r>
              <w:t xml:space="preserve">Fiscal; o gestor encaminha</w:t>
            </w:r>
          </w:p>
        </w:tc>
        <w:tc>
          <w:tcPr>
            <w:tcW w:w="2340" w:type="dxa"/>
          </w:tcPr>
          <w:p>
            <w:pPr/>
            <w:r>
              <w:t xml:space="preserve">Até 5 dias úteis da ciência (recomendado)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3</w:t>
            </w:r>
          </w:p>
        </w:tc>
        <w:tc>
          <w:tcPr>
            <w:tcW w:w="2340" w:type="dxa"/>
          </w:tcPr>
          <w:p>
            <w:pPr/>
            <w:r>
              <w:t xml:space="preserve">Autuar, conferir regime legal, prescrição e garantia, e minutar o despacho</w:t>
            </w:r>
          </w:p>
        </w:tc>
        <w:tc>
          <w:tcPr>
            <w:tcW w:w="2340" w:type="dxa"/>
          </w:tcPr>
          <w:p>
            <w:pPr/>
            <w:r>
              <w:t xml:space="preserve">GCONV</w:t>
            </w:r>
          </w:p>
        </w:tc>
        <w:tc>
          <w:tcPr>
            <w:tcW w:w="2340" w:type="dxa"/>
          </w:tcPr>
          <w:p>
            <w:pPr/>
            <w:r>
              <w:t xml:space="preserve">Até 10 dias úteis (recomendado)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4</w:t>
            </w:r>
          </w:p>
        </w:tc>
        <w:tc>
          <w:tcPr>
            <w:tcW w:w="2340" w:type="dxa"/>
          </w:tcPr>
          <w:p>
            <w:pPr/>
            <w:r>
              <w:t xml:space="preserve">Despacho que instaura o rito, delimita fatos, enquadramento e sanções em tese, registra a prescrição e designa o condutor (modelo 21.2)</w:t>
            </w:r>
          </w:p>
        </w:tc>
        <w:tc>
          <w:tcPr>
            <w:tcW w:w="2340" w:type="dxa"/>
          </w:tcPr>
          <w:p>
            <w:pPr/>
            <w:r>
              <w:t xml:space="preserve">Quem vai decidir (seção 3.2)</w:t>
            </w:r>
          </w:p>
        </w:tc>
        <w:tc>
          <w:tcPr>
            <w:tcW w:w="2340" w:type="dxa"/>
          </w:tcPr>
          <w:p>
            <w:pPr/>
            <w:r>
              <w:t xml:space="preserve">—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5</w:t>
            </w:r>
          </w:p>
        </w:tc>
        <w:tc>
          <w:tcPr>
            <w:tcW w:w="2340" w:type="dxa"/>
          </w:tcPr>
          <w:p>
            <w:pPr/>
            <w:r>
              <w:t xml:space="preserve">Notificar o emissor da garantia (modelo 21.12)</w:t>
            </w:r>
          </w:p>
        </w:tc>
        <w:tc>
          <w:tcPr>
            <w:tcW w:w="2340" w:type="dxa"/>
          </w:tcPr>
          <w:p>
            <w:pPr/>
            <w:r>
              <w:t xml:space="preserve">GCONV</w:t>
            </w:r>
          </w:p>
        </w:tc>
        <w:tc>
          <w:tcPr>
            <w:tcW w:w="2340" w:type="dxa"/>
          </w:tcPr>
          <w:p>
            <w:pPr/>
            <w:r>
              <w:t xml:space="preserve">No mesmo dia da abertura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6</w:t>
            </w:r>
          </w:p>
        </w:tc>
        <w:tc>
          <w:tcPr>
            <w:tcW w:w="2340" w:type="dxa"/>
          </w:tcPr>
          <w:p>
            <w:pPr/>
            <w:r>
              <w:t xml:space="preserve">Intimar a empresa para defesa, com acesso integral aos autos (modelos 21.4 e 21.14)</w:t>
            </w:r>
          </w:p>
        </w:tc>
        <w:tc>
          <w:tcPr>
            <w:tcW w:w="2340" w:type="dxa"/>
          </w:tcPr>
          <w:p>
            <w:pPr/>
            <w:r>
              <w:t xml:space="preserve">Condutor; GCONV certifica</w:t>
            </w:r>
          </w:p>
        </w:tc>
        <w:tc>
          <w:tcPr>
            <w:tcW w:w="2340" w:type="dxa"/>
          </w:tcPr>
          <w:p>
            <w:pPr/>
            <w:r>
              <w:t xml:space="preserve">15 dias úteis para a empresa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7</w:t>
            </w:r>
          </w:p>
        </w:tc>
        <w:tc>
          <w:tcPr>
            <w:tcW w:w="2340" w:type="dxa"/>
          </w:tcPr>
          <w:p>
            <w:pPr/>
            <w:r>
              <w:t xml:space="preserve">Analisar a defesa e as provas; encerrada a instrução, intimar para manifestação final (modelo 21.15)</w:t>
            </w:r>
          </w:p>
        </w:tc>
        <w:tc>
          <w:tcPr>
            <w:tcW w:w="2340" w:type="dxa"/>
          </w:tcPr>
          <w:p>
            <w:pPr/>
            <w:r>
              <w:t xml:space="preserve">Condutor</w:t>
            </w:r>
          </w:p>
        </w:tc>
        <w:tc>
          <w:tcPr>
            <w:tcW w:w="2340" w:type="dxa"/>
          </w:tcPr>
          <w:p>
            <w:pPr/>
            <w:r>
              <w:t xml:space="preserve">10 dias úteis para a empresa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8</w:t>
            </w:r>
          </w:p>
        </w:tc>
        <w:tc>
          <w:tcPr>
            <w:tcW w:w="2340" w:type="dxa"/>
          </w:tcPr>
          <w:p>
            <w:pPr/>
            <w:r>
              <w:t xml:space="preserve">Relatório simplificado com dosimetria e proposta</w:t>
            </w:r>
          </w:p>
        </w:tc>
        <w:tc>
          <w:tcPr>
            <w:tcW w:w="2340" w:type="dxa"/>
          </w:tcPr>
          <w:p>
            <w:pPr/>
            <w:r>
              <w:t xml:space="preserve">Condutor</w:t>
            </w:r>
          </w:p>
        </w:tc>
        <w:tc>
          <w:tcPr>
            <w:tcW w:w="2340" w:type="dxa"/>
          </w:tcPr>
          <w:p>
            <w:pPr/>
            <w:r>
              <w:t xml:space="preserve">—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9</w:t>
            </w:r>
          </w:p>
        </w:tc>
        <w:tc>
          <w:tcPr>
            <w:tcW w:w="2340" w:type="dxa"/>
          </w:tcPr>
          <w:p>
            <w:pPr/>
            <w:r>
              <w:t xml:space="preserve">Decisão motivada (modelo 21.17)</w:t>
            </w:r>
          </w:p>
        </w:tc>
        <w:tc>
          <w:tcPr>
            <w:tcW w:w="2340" w:type="dxa"/>
          </w:tcPr>
          <w:p>
            <w:pPr/>
            <w:r>
              <w:t xml:space="preserve">Fiscalização até 5%; acima, Superintendente ou delegado</w:t>
            </w:r>
          </w:p>
        </w:tc>
        <w:tc>
          <w:tcPr>
            <w:tcW w:w="2340" w:type="dxa"/>
          </w:tcPr>
          <w:p>
            <w:pPr/>
            <w:r>
              <w:t xml:space="preserve">Até 30 dias após a instrução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10</w:t>
            </w:r>
          </w:p>
        </w:tc>
        <w:tc>
          <w:tcPr>
            <w:tcW w:w="2340" w:type="dxa"/>
          </w:tcPr>
          <w:p>
            <w:pPr/>
            <w:r>
              <w:t xml:space="preserve">Intimar a decisão e processar eventual recurso (modelos 21.18 e 21.19)</w:t>
            </w:r>
          </w:p>
        </w:tc>
        <w:tc>
          <w:tcPr>
            <w:tcW w:w="2340" w:type="dxa"/>
          </w:tcPr>
          <w:p>
            <w:pPr/>
            <w:r>
              <w:t xml:space="preserve">GCONV; quem decidiu; Superintendente</w:t>
            </w:r>
          </w:p>
        </w:tc>
        <w:tc>
          <w:tcPr>
            <w:tcW w:w="2340" w:type="dxa"/>
          </w:tcPr>
          <w:p>
            <w:pPr/>
            <w:r>
              <w:t xml:space="preserve">15 + 5 + 20 dias úteis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11</w:t>
            </w:r>
          </w:p>
        </w:tc>
        <w:tc>
          <w:tcPr>
            <w:tcW w:w="2340" w:type="dxa"/>
          </w:tcPr>
          <w:p>
            <w:pPr/>
            <w:r>
              <w:t xml:space="preserve">Certidão de definitividade, cobrança, registro e comunicação à CGE (seção 15)</w:t>
            </w:r>
          </w:p>
        </w:tc>
        <w:tc>
          <w:tcPr>
            <w:tcW w:w="2340" w:type="dxa"/>
          </w:tcPr>
          <w:p>
            <w:pPr/>
            <w:r>
              <w:t xml:space="preserve">GCONV e CAF</w:t>
            </w:r>
          </w:p>
        </w:tc>
        <w:tc>
          <w:tcPr>
            <w:tcW w:w="2340" w:type="dxa"/>
          </w:tcPr>
          <w:p>
            <w:pPr/>
            <w:r>
              <w:t xml:space="preserve">Imediato</w:t>
            </w:r>
          </w:p>
        </w:tc>
      </w:tr>
    </w:tbl>
    <w:p>
      <w:pPr/>
      <w:r>
        <w:rPr>
          <w:b/>
        </w:rPr>
        <w:t xml:space="preserve">Quem decide e quem conduz.</w:t>
      </w:r>
      <w:r>
        <w:t xml:space="preserve"> O despacho de abertura é assinado por quem vai decidir: a fiscalização, até 5%, ou o Superintendente ou delegado, nos demais casos (seção 3.2). O gestor do contrato não decide. Se a multa calculada passar de 5% num rito aberto pela fiscalização, os autos sobem ao Superintendente, que ratifica a instauração por despacho, dá ciência à empresa e decide.</w:t>
      </w:r>
    </w:p>
    <w:p>
      <w:pPr>
        <w:pStyle w:val="Heading3"/>
      </w:pPr>
      <w:r>
        <w:t xml:space="preserve">8.4 Processo com comissão passo a passo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  <w:shd w:val="clear" w:color="auto" w:fill="F2F2F2"/>
          </w:tcPr>
          <w:p>
            <w:pPr/>
            <w:r>
              <w:t xml:space="preserve">Passo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O que fazer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Quem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Prazo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1</w:t>
            </w:r>
          </w:p>
        </w:tc>
        <w:tc>
          <w:tcPr>
            <w:tcW w:w="2340" w:type="dxa"/>
          </w:tcPr>
          <w:p>
            <w:pPr/>
            <w:r>
              <w:t xml:space="preserve">Encaminhar ao Superintendente o dossiê completo, com minuta de portaria (modelo 21.3)</w:t>
            </w:r>
          </w:p>
        </w:tc>
        <w:tc>
          <w:tcPr>
            <w:tcW w:w="2340" w:type="dxa"/>
          </w:tcPr>
          <w:p>
            <w:pPr/>
            <w:r>
              <w:t xml:space="preserve">Gestor do contrato, com instrução da GCONV</w:t>
            </w:r>
          </w:p>
        </w:tc>
        <w:tc>
          <w:tcPr>
            <w:tcW w:w="2340" w:type="dxa"/>
          </w:tcPr>
          <w:p>
            <w:pPr/>
            <w:r>
              <w:t xml:space="preserve">Até 10 dias úteis (recomendado)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2</w:t>
            </w:r>
          </w:p>
        </w:tc>
        <w:tc>
          <w:tcPr>
            <w:tcW w:w="2340" w:type="dxa"/>
          </w:tcPr>
          <w:p>
            <w:pPr/>
            <w:r>
              <w:t xml:space="preserve">Portaria que instaura o processo, descreve os fatos, registra ciência e prescrição, justifica o rito e designa a comissão; extrato no DOE (modelo 21.3)</w:t>
            </w:r>
          </w:p>
        </w:tc>
        <w:tc>
          <w:tcPr>
            <w:tcW w:w="2340" w:type="dxa"/>
          </w:tcPr>
          <w:p>
            <w:pPr/>
            <w:r>
              <w:t xml:space="preserve">Superintendente</w:t>
            </w:r>
          </w:p>
        </w:tc>
        <w:tc>
          <w:tcPr>
            <w:tcW w:w="2340" w:type="dxa"/>
          </w:tcPr>
          <w:p>
            <w:pPr/>
            <w:r>
              <w:t xml:space="preserve">A prescrição é interrompida aqui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3</w:t>
            </w:r>
          </w:p>
        </w:tc>
        <w:tc>
          <w:tcPr>
            <w:tcW w:w="2340" w:type="dxa"/>
          </w:tcPr>
          <w:p>
            <w:pPr/>
            <w:r>
              <w:t xml:space="preserve">Notificar o emissor da garantia e juntar as declarações dos membros (modelos 21.12 e 21.13)</w:t>
            </w:r>
          </w:p>
        </w:tc>
        <w:tc>
          <w:tcPr>
            <w:tcW w:w="2340" w:type="dxa"/>
          </w:tcPr>
          <w:p>
            <w:pPr/>
            <w:r>
              <w:t xml:space="preserve">GCONV e comissão</w:t>
            </w:r>
          </w:p>
        </w:tc>
        <w:tc>
          <w:tcPr>
            <w:tcW w:w="2340" w:type="dxa"/>
          </w:tcPr>
          <w:p>
            <w:pPr/>
            <w:r>
              <w:t xml:space="preserve">No mesmo dia da abertura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4</w:t>
            </w:r>
          </w:p>
        </w:tc>
        <w:tc>
          <w:tcPr>
            <w:tcW w:w="2340" w:type="dxa"/>
          </w:tcPr>
          <w:p>
            <w:pPr/>
            <w:r>
              <w:t xml:space="preserve">Avaliar os fatos e intimar para defesa escrita e especificação de provas (modelos 21.4 e 21.14)</w:t>
            </w:r>
          </w:p>
        </w:tc>
        <w:tc>
          <w:tcPr>
            <w:tcW w:w="2340" w:type="dxa"/>
          </w:tcPr>
          <w:p>
            <w:pPr/>
            <w:r>
              <w:t xml:space="preserve">Comissão</w:t>
            </w:r>
          </w:p>
        </w:tc>
        <w:tc>
          <w:tcPr>
            <w:tcW w:w="2340" w:type="dxa"/>
          </w:tcPr>
          <w:p>
            <w:pPr/>
            <w:r>
              <w:t xml:space="preserve">15 dias úteis para a empresa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5</w:t>
            </w:r>
          </w:p>
        </w:tc>
        <w:tc>
          <w:tcPr>
            <w:tcW w:w="2340" w:type="dxa"/>
          </w:tcPr>
          <w:p>
            <w:pPr/>
            <w:r>
              <w:t xml:space="preserve">Decidir, de forma fundamentada, sobre cada prova requerida (modelo 21.5)</w:t>
            </w:r>
          </w:p>
        </w:tc>
        <w:tc>
          <w:tcPr>
            <w:tcW w:w="2340" w:type="dxa"/>
          </w:tcPr>
          <w:p>
            <w:pPr/>
            <w:r>
              <w:t xml:space="preserve">Comissão</w:t>
            </w:r>
          </w:p>
        </w:tc>
        <w:tc>
          <w:tcPr>
            <w:tcW w:w="2340" w:type="dxa"/>
          </w:tcPr>
          <w:p>
            <w:pPr/>
            <w:r>
              <w:t xml:space="preserve">Logo após a defesa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6</w:t>
            </w:r>
          </w:p>
        </w:tc>
        <w:tc>
          <w:tcPr>
            <w:tcW w:w="2340" w:type="dxa"/>
          </w:tcPr>
          <w:p>
            <w:pPr/>
            <w:r>
              <w:t xml:space="preserve">Produzir as provas deferidas, com intimação prévia de 3 dias úteis</w:t>
            </w:r>
          </w:p>
        </w:tc>
        <w:tc>
          <w:tcPr>
            <w:tcW w:w="2340" w:type="dxa"/>
          </w:tcPr>
          <w:p>
            <w:pPr/>
            <w:r>
              <w:t xml:space="preserve">Comissão</w:t>
            </w:r>
          </w:p>
        </w:tc>
        <w:tc>
          <w:tcPr>
            <w:tcW w:w="2340" w:type="dxa"/>
          </w:tcPr>
          <w:p>
            <w:pPr/>
            <w:r>
              <w:t xml:space="preserve">—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7</w:t>
            </w:r>
          </w:p>
        </w:tc>
        <w:tc>
          <w:tcPr>
            <w:tcW w:w="2340" w:type="dxa"/>
          </w:tcPr>
          <w:p>
            <w:pPr/>
            <w:r>
              <w:t xml:space="preserve">Encerrar a instrução e intimar para alegações finais, haja ou não prova nova (modelo 21.15)</w:t>
            </w:r>
          </w:p>
        </w:tc>
        <w:tc>
          <w:tcPr>
            <w:tcW w:w="2340" w:type="dxa"/>
          </w:tcPr>
          <w:p>
            <w:pPr/>
            <w:r>
              <w:t xml:space="preserve">Comissão</w:t>
            </w:r>
          </w:p>
        </w:tc>
        <w:tc>
          <w:tcPr>
            <w:tcW w:w="2340" w:type="dxa"/>
          </w:tcPr>
          <w:p>
            <w:pPr/>
            <w:r>
              <w:t xml:space="preserve">15 dias úteis para a empresa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8</w:t>
            </w:r>
          </w:p>
        </w:tc>
        <w:tc>
          <w:tcPr>
            <w:tcW w:w="2340" w:type="dxa"/>
          </w:tcPr>
          <w:p>
            <w:pPr/>
            <w:r>
              <w:t xml:space="preserve">Relatório final com enquadramento, dosimetria e condições de reabilitação (modelo 21.6)</w:t>
            </w:r>
          </w:p>
        </w:tc>
        <w:tc>
          <w:tcPr>
            <w:tcW w:w="2340" w:type="dxa"/>
          </w:tcPr>
          <w:p>
            <w:pPr/>
            <w:r>
              <w:t xml:space="preserve">Comissão</w:t>
            </w:r>
          </w:p>
        </w:tc>
        <w:tc>
          <w:tcPr>
            <w:tcW w:w="2340" w:type="dxa"/>
          </w:tcPr>
          <w:p>
            <w:pPr/>
            <w:r>
              <w:t xml:space="preserve">—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9</w:t>
            </w:r>
          </w:p>
        </w:tc>
        <w:tc>
          <w:tcPr>
            <w:tcW w:w="2340" w:type="dxa"/>
          </w:tcPr>
          <w:p>
            <w:pPr/>
            <w:r>
              <w:t xml:space="preserve">Manifestação jurídica: obrigatória na inidoneidade e na desconsideração; recomendada no impedimento</w:t>
            </w:r>
          </w:p>
        </w:tc>
        <w:tc>
          <w:tcPr>
            <w:tcW w:w="2340" w:type="dxa"/>
          </w:tcPr>
          <w:p>
            <w:pPr/>
            <w:r>
              <w:t xml:space="preserve">Assessoria Jurídica (PGE)</w:t>
            </w:r>
          </w:p>
        </w:tc>
        <w:tc>
          <w:tcPr>
            <w:tcW w:w="2340" w:type="dxa"/>
          </w:tcPr>
          <w:p>
            <w:pPr/>
            <w:r>
              <w:t xml:space="preserve">Até 30 dias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10</w:t>
            </w:r>
          </w:p>
        </w:tc>
        <w:tc>
          <w:tcPr>
            <w:tcW w:w="2340" w:type="dxa"/>
          </w:tcPr>
          <w:p>
            <w:pPr/>
            <w:r>
              <w:t xml:space="preserve">Decisão (modelo 21.7); na inidoneidade, juízo de reprovabilidade e remessa à autoridade competente (modelo 21.22)</w:t>
            </w:r>
          </w:p>
        </w:tc>
        <w:tc>
          <w:tcPr>
            <w:tcW w:w="2340" w:type="dxa"/>
          </w:tcPr>
          <w:p>
            <w:pPr/>
            <w:r>
              <w:t xml:space="preserve">Superintendente; inidoneidade, autoridade com status de Secretário</w:t>
            </w:r>
          </w:p>
        </w:tc>
        <w:tc>
          <w:tcPr>
            <w:tcW w:w="2340" w:type="dxa"/>
          </w:tcPr>
          <w:p>
            <w:pPr/>
            <w:r>
              <w:t xml:space="preserve">Até 30 dias após a instrução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11</w:t>
            </w:r>
          </w:p>
        </w:tc>
        <w:tc>
          <w:tcPr>
            <w:tcW w:w="2340" w:type="dxa"/>
          </w:tcPr>
          <w:p>
            <w:pPr/>
            <w:r>
              <w:t xml:space="preserve">Intimar e processar recurso ou pedido de reconsideração (modelos 21.18 e 21.19)</w:t>
            </w:r>
          </w:p>
        </w:tc>
        <w:tc>
          <w:tcPr>
            <w:tcW w:w="2340" w:type="dxa"/>
          </w:tcPr>
          <w:p>
            <w:pPr/>
            <w:r>
              <w:t xml:space="preserve">GCONV e autoridades competentes</w:t>
            </w:r>
          </w:p>
        </w:tc>
        <w:tc>
          <w:tcPr>
            <w:tcW w:w="2340" w:type="dxa"/>
          </w:tcPr>
          <w:p>
            <w:pPr/>
            <w:r>
              <w:t xml:space="preserve">15 + 5 + 20 dias úteis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12</w:t>
            </w:r>
          </w:p>
        </w:tc>
        <w:tc>
          <w:tcPr>
            <w:tcW w:w="2340" w:type="dxa"/>
          </w:tcPr>
          <w:p>
            <w:pPr/>
            <w:r>
              <w:t xml:space="preserve">Certidão de definitividade; ofício à CGE para Ceis e cadastro estadual; extrato no DOE; cobrança (modelos 21.8, 21.21 e 21.9)</w:t>
            </w:r>
          </w:p>
        </w:tc>
        <w:tc>
          <w:tcPr>
            <w:tcW w:w="2340" w:type="dxa"/>
          </w:tcPr>
          <w:p>
            <w:pPr/>
            <w:r>
              <w:t xml:space="preserve">GCONV, CGE e CAF</w:t>
            </w:r>
          </w:p>
        </w:tc>
        <w:tc>
          <w:tcPr>
            <w:tcW w:w="2340" w:type="dxa"/>
          </w:tcPr>
          <w:p>
            <w:pPr/>
            <w:r>
              <w:t xml:space="preserve">Registro em até 15 dias úteis</w:t>
            </w:r>
          </w:p>
        </w:tc>
      </w:tr>
    </w:tbl>
    <w:p>
      <w:pPr/>
      <w:r>
        <w:t xml:space="preserve">A comissão não está presa à sanção que motivou sua criação. Se a instrução mostrar que bastam advertência ou multa, o relatório propõe a sanção menor e o processo termina por ela, sem conversão.</w:t>
      </w:r>
    </w:p>
    <w:p>
      <w:pPr/>
      <w:r>
        <w:t xml:space="preserve">ASTEC ou DIREX opinam só a pedido do Superintendente ou quando a dúvida estiver registrada no encaminhamento. Se a instrução revelar ato lesivo da Lei 12.846, a comissão suspende o relatório e o Superintendente remete os autos à CGE (seção 17.1).</w:t>
      </w:r>
    </w:p>
    <w:p>
      <w:pPr>
        <w:pStyle w:val="Heading3"/>
      </w:pPr>
      <w:r>
        <w:t xml:space="preserve">8.5 Casos práticos: qual rito abrir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Situação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Caminho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Por quê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Vigilantes sem o equipamento previsto em alguns postos, sem prejuízo ao serviço</w:t>
            </w:r>
          </w:p>
        </w:tc>
        <w:tc>
          <w:tcPr>
            <w:tcW w:w="3120" w:type="dxa"/>
          </w:tcPr>
          <w:p>
            <w:pPr/>
            <w:r>
              <w:t xml:space="preserve">Sumário</w:t>
            </w:r>
          </w:p>
        </w:tc>
        <w:tc>
          <w:tcPr>
            <w:tcW w:w="3120" w:type="dxa"/>
          </w:tcPr>
          <w:p>
            <w:pPr/>
            <w:r>
              <w:t xml:space="preserve">Inexecução parcial simples (inciso I): só advertência ou multa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Locadora atrasa 5 dias a entrega de veículos e regulariza</w:t>
            </w:r>
          </w:p>
        </w:tc>
        <w:tc>
          <w:tcPr>
            <w:tcW w:w="3120" w:type="dxa"/>
          </w:tcPr>
          <w:p>
            <w:pPr/>
            <w:r>
              <w:t xml:space="preserve">Sumário</w:t>
            </w:r>
          </w:p>
        </w:tc>
        <w:tc>
          <w:tcPr>
            <w:tcW w:w="3120" w:type="dxa"/>
          </w:tcPr>
          <w:p>
            <w:pPr/>
            <w:r>
              <w:t xml:space="preserve">Atraso pontual resolvido com a multa de mora do contrato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Atrasos repetidos na emissão de bilhetes aéreos no mês, sem prejuízo grave</w:t>
            </w:r>
          </w:p>
        </w:tc>
        <w:tc>
          <w:tcPr>
            <w:tcW w:w="3120" w:type="dxa"/>
          </w:tcPr>
          <w:p>
            <w:pPr/>
            <w:r>
              <w:t xml:space="preserve">Sumário periódico</w:t>
            </w:r>
          </w:p>
        </w:tc>
        <w:tc>
          <w:tcPr>
            <w:tcW w:w="3120" w:type="dxa"/>
          </w:tcPr>
          <w:p>
            <w:pPr/>
            <w:r>
              <w:t xml:space="preserve">Mora recorrente consolidada em processo mensal ou trimestral (seção 7.5)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Atrasos repetidos no abastecimento que param veículos de serviço essencial</w:t>
            </w:r>
          </w:p>
        </w:tc>
        <w:tc>
          <w:tcPr>
            <w:tcW w:w="3120" w:type="dxa"/>
          </w:tcPr>
          <w:p>
            <w:pPr/>
            <w:r>
              <w:t xml:space="preserve">Comissão</w:t>
            </w:r>
          </w:p>
        </w:tc>
        <w:tc>
          <w:tcPr>
            <w:tcW w:w="3120" w:type="dxa"/>
          </w:tcPr>
          <w:p>
            <w:pPr/>
            <w:r>
              <w:t xml:space="preserve">Grave dano (inciso II), com os atrasos valorados como agravante; sem dano demonstrado, retardamento (inciso VII)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Contratada abandona o serviço de limpeza no meio da vigência</w:t>
            </w:r>
          </w:p>
        </w:tc>
        <w:tc>
          <w:tcPr>
            <w:tcW w:w="3120" w:type="dxa"/>
          </w:tcPr>
          <w:p>
            <w:pPr/>
            <w:r>
              <w:t xml:space="preserve">Comissão</w:t>
            </w:r>
          </w:p>
        </w:tc>
        <w:tc>
          <w:tcPr>
            <w:tcW w:w="3120" w:type="dxa"/>
          </w:tcPr>
          <w:p>
            <w:pPr/>
            <w:r>
              <w:t xml:space="preserve">Inexecução total (inciso III); a extinção corre em paralelo (seção 10.5)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Arrematante desiste após os lances, primeira ocorrência, sem prejuízo ao certame</w:t>
            </w:r>
          </w:p>
        </w:tc>
        <w:tc>
          <w:tcPr>
            <w:tcW w:w="3120" w:type="dxa"/>
          </w:tcPr>
          <w:p>
            <w:pPr/>
            <w:r>
              <w:t xml:space="preserve">Sumário, decidido pelo Superintendente</w:t>
            </w:r>
          </w:p>
        </w:tc>
        <w:tc>
          <w:tcPr>
            <w:tcW w:w="3120" w:type="dxa"/>
          </w:tcPr>
          <w:p>
            <w:pPr/>
            <w:r>
              <w:t xml:space="preserve">Inciso V; o impedimento seria desproporcional, o que se registra no despacho (seção 9.5)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Arrematante não envia os documentos e trava o pregão, com histórico de desistências</w:t>
            </w:r>
          </w:p>
        </w:tc>
        <w:tc>
          <w:tcPr>
            <w:tcW w:w="3120" w:type="dxa"/>
          </w:tcPr>
          <w:p>
            <w:pPr/>
            <w:r>
              <w:t xml:space="preserve">Comissão</w:t>
            </w:r>
          </w:p>
        </w:tc>
        <w:tc>
          <w:tcPr>
            <w:tcW w:w="3120" w:type="dxa"/>
          </w:tcPr>
          <w:p>
            <w:pPr/>
            <w:r>
              <w:t xml:space="preserve">Inciso IV com prejuízo ao certame admite impedimento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Adjudicatário não assina o contrato no prazo</w:t>
            </w:r>
          </w:p>
        </w:tc>
        <w:tc>
          <w:tcPr>
            <w:tcW w:w="3120" w:type="dxa"/>
          </w:tcPr>
          <w:p>
            <w:pPr/>
            <w:r>
              <w:t xml:space="preserve">Comissão</w:t>
            </w:r>
          </w:p>
        </w:tc>
        <w:tc>
          <w:tcPr>
            <w:tcW w:w="3120" w:type="dxa"/>
          </w:tcPr>
          <w:p>
            <w:pPr/>
            <w:r>
              <w:t xml:space="preserve">Inciso VI admite impedimento; a garantia de proposta é perdida (art. 90, § 5º), regra que não vale para remanescentes convocados (art. 90, § 6º)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Atestado de capacidade técnica que o emissor não confirma</w:t>
            </w:r>
          </w:p>
        </w:tc>
        <w:tc>
          <w:tcPr>
            <w:tcW w:w="3120" w:type="dxa"/>
          </w:tcPr>
          <w:p>
            <w:pPr/>
            <w:r>
              <w:t xml:space="preserve">Diligência antes de abrir (seção 17.7)</w:t>
            </w:r>
          </w:p>
        </w:tc>
        <w:tc>
          <w:tcPr>
            <w:tcW w:w="3120" w:type="dxa"/>
          </w:tcPr>
          <w:p>
            <w:pPr/>
            <w:r>
              <w:t xml:space="preserve">Silêncio do emissor não prova falsidade; confirmada a falsidade usada para vencer o certame, remessa à CGE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Contratada de vigilância deixa de recolher FGTS</w:t>
            </w:r>
          </w:p>
        </w:tc>
        <w:tc>
          <w:tcPr>
            <w:tcW w:w="3120" w:type="dxa"/>
          </w:tcPr>
          <w:p>
            <w:pPr/>
            <w:r>
              <w:t xml:space="preserve">Sumário com advertência e prazo para regularizar (Dec. 28.874, art. 26, § 1º)</w:t>
            </w:r>
          </w:p>
        </w:tc>
        <w:tc>
          <w:tcPr>
            <w:tcW w:w="3120" w:type="dxa"/>
          </w:tcPr>
          <w:p>
            <w:pPr/>
            <w:r>
              <w:t xml:space="preserve">Se persistir: retenção e pagamento direto aos empregados (art. 26, §§ 2º a 5º), multa no próprio sumário e avaliação de extinção. Comissão só com grave dano demonstrado (inciso II) ou inexecução total (inciso III)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Licitantes combinam preços, ou representante oferece vantagem ao fiscal</w:t>
            </w:r>
          </w:p>
        </w:tc>
        <w:tc>
          <w:tcPr>
            <w:tcW w:w="3120" w:type="dxa"/>
          </w:tcPr>
          <w:p>
            <w:pPr/>
            <w:r>
              <w:t xml:space="preserve">Remessa à CGE</w:t>
            </w:r>
          </w:p>
        </w:tc>
        <w:tc>
          <w:tcPr>
            <w:tcW w:w="3120" w:type="dxa"/>
          </w:tcPr>
          <w:p>
            <w:pPr/>
            <w:r>
              <w:t xml:space="preserve">Ato lesivo da Lei 12.846: a CGE conduz o PAR (seção 17.1)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Empresa corrige a falha no prazo da notificação, sem prejuízo e sem repetição</w:t>
            </w:r>
          </w:p>
        </w:tc>
        <w:tc>
          <w:tcPr>
            <w:tcW w:w="3120" w:type="dxa"/>
          </w:tcPr>
          <w:p>
            <w:pPr/>
            <w:r>
              <w:t xml:space="preserve">Sem processo</w:t>
            </w:r>
          </w:p>
        </w:tc>
        <w:tc>
          <w:tcPr>
            <w:tcW w:w="3120" w:type="dxa"/>
          </w:tcPr>
          <w:p>
            <w:pPr/>
            <w:r>
              <w:t xml:space="preserve">Registro na matriz e na avaliação de desempenho, com despacho motivado (seção 9.2)</w:t>
            </w:r>
          </w:p>
        </w:tc>
      </w:tr>
    </w:tbl>
    <w:p>
      <w:pPr>
        <w:pStyle w:val="Heading3"/>
      </w:pPr>
      <w:r>
        <w:t xml:space="preserve">8.6 Principais dúvidas sobre os ritos</w:t>
      </w:r>
    </w:p>
    <w:p>
      <w:pPr/>
      <w:r>
        <w:rPr>
          <w:b/>
        </w:rPr>
        <w:t xml:space="preserve">Preciso de um juízo de admissibilidade separado antes de abrir o processo?</w:t>
      </w:r>
      <w:r>
        <w:t xml:space="preserve"> Não. Nem a Lei 14.133 nem o Decreto 28.874 criam essa fase, e uma etapa a mais só consome prazo prescricional. O que é indispensável é o conteúdo: fatos delimitados, enquadramento, prescrição conferida e rito escolhido. Tudo isso vai no próprio despacho (rito sumário) ou na portaria (comissão). Separe a decisão em despacho próprio apenas para arquivar, porque o arquivamento precisa de motivação expressa, e peça nota da ASTEC ou da DIREX só quando houver dúvida real.</w:t>
      </w:r>
    </w:p>
    <w:p>
      <w:pPr/>
      <w:r>
        <w:rPr>
          <w:b/>
        </w:rPr>
        <w:t xml:space="preserve">Na dúvida entre os dois, qual abro?</w:t>
      </w:r>
      <w:r>
        <w:t xml:space="preserve"> O processo com comissão. Ele pode terminar em advertência ou multa sem nenhuma conversão, e sua instauração interrompe a prescrição. O caminho inverso, do sumário para a comissão, exige nova portaria, nova intimação e prazo de defesa integral.</w:t>
      </w:r>
    </w:p>
    <w:p>
      <w:pPr/>
      <w:r>
        <w:rPr>
          <w:b/>
        </w:rPr>
        <w:t xml:space="preserve">Abri o sumário e apareceu fato mais grave. E agora?</w:t>
      </w:r>
      <w:r>
        <w:t xml:space="preserve"> Converta antes de decidir: portaria do Superintendente, designação da comissão, nova intimação descrevendo os fatos novos e novo prazo de 15 dias úteis (modelo 21.16). As provas já produzidas podem ser aproveitadas, desde que a empresa possa se manifestar sobre elas.</w:t>
      </w:r>
    </w:p>
    <w:p>
      <w:pPr/>
      <w:r>
        <w:rPr>
          <w:b/>
        </w:rPr>
        <w:t xml:space="preserve">O sumário precisa de portaria?</w:t>
      </w:r>
      <w:r>
        <w:t xml:space="preserve"> Não. Basta despacho que instaure o rito e delimite fatos, enquadramento e sanções em tese, seguido da intimação. O despacho deve estar no SEI, assinado por quem vai decidir (seção 3.2).</w:t>
      </w:r>
    </w:p>
    <w:p>
      <w:pPr/>
      <w:r>
        <w:rPr>
          <w:b/>
        </w:rPr>
        <w:t xml:space="preserve">O fiscal pode conduzir e decidir o sumário sobre fatos que ele mesmo apontou?</w:t>
      </w:r>
      <w:r>
        <w:t xml:space="preserve"> Pode. O decreto autoriza a fiscalização a aplicar advertência e multa até 5% (art. 185, p.ú.). Havendo equipe de fiscalização, decide quem não subscreveu a representação. Se a fiscalização não for decidir, os autos sobem ao Superintendente ou a delegado com ato publicado no DOE. O gestor do contrato não decide.</w:t>
      </w:r>
    </w:p>
    <w:p>
      <w:pPr/>
      <w:r>
        <w:rPr>
          <w:b/>
        </w:rPr>
        <w:t xml:space="preserve">Multa acima de 5% obriga a abrir comissão?</w:t>
      </w:r>
      <w:r>
        <w:t xml:space="preserve"> Não necessariamente. O decreto põe toda multa no rito simplificado (art. 185) e reserva a de mais de 5% à "autoridade instauradora" (art. 186, p.ú.). Para atender às duas leituras possíveis, nesse caso o despacho de abertura é assinado pelo próprio Superintendente, que decide, e o condutor é servidor designado, distinto da fiscalização. Prefira a comissão quando a prescrição estiver a menos de um ano, porque só a instauração do processo do art. 158 a interrompe com segurança.</w:t>
      </w:r>
    </w:p>
    <w:p>
      <w:pPr/>
      <w:r>
        <w:rPr>
          <w:b/>
        </w:rPr>
        <w:t xml:space="preserve">Posso aplicar advertência e multa juntas no sumário?</w:t>
      </w:r>
      <w:r>
        <w:t xml:space="preserve"> Sim. O decreto fala em advertência ou multa "isoladas ou cumulativamente" (art. 185), e a lei permite somar a multa às demais sanções (art. 156, § 7º). A advertência, porém, só cabe na inexecução parcial do inciso I.</w:t>
      </w:r>
    </w:p>
    <w:p>
      <w:pPr/>
      <w:r>
        <w:rPr>
          <w:b/>
        </w:rPr>
        <w:t xml:space="preserve">Quem pode compor a comissão?</w:t>
      </w:r>
      <w:r>
        <w:t xml:space="preserve"> No mínimo dois servidores estáveis, sem participação no fato e sem impedimento ou suspeição. Fiscal e pregoeiro do caso ficam de fora; podem depor como informantes.</w:t>
      </w:r>
    </w:p>
    <w:p>
      <w:pPr/>
      <w:r>
        <w:rPr>
          <w:b/>
        </w:rPr>
        <w:t xml:space="preserve">A comissão pode propor só multa?</w:t>
      </w:r>
      <w:r>
        <w:t xml:space="preserve"> Pode. A comissão é obrigatória para que se cogite impedimento ou inidoneidade, mas o relatório propõe a sanção que os fatos provados justificarem.</w:t>
      </w:r>
    </w:p>
    <w:p>
      <w:pPr/>
      <w:r>
        <w:rPr>
          <w:b/>
        </w:rPr>
        <w:t xml:space="preserve">Preciso de parecer jurídico em todo caso?</w:t>
      </w:r>
      <w:r>
        <w:t xml:space="preserve"> Não. É obrigatório na inidoneidade, na desconsideração da personalidade jurídica, na reabilitação e como apoio às decisões de recurso. Nos demais casos, peça quando houver dúvida jurídica relevante.</w:t>
      </w:r>
    </w:p>
    <w:p>
      <w:pPr/>
      <w:r>
        <w:rPr>
          <w:b/>
        </w:rPr>
        <w:t xml:space="preserve">E as infrações na licitação, antes do contrato?</w:t>
      </w:r>
      <w:r>
        <w:t xml:space="preserve"> Seguem o mesmo critério, com uma diferença: não há fiscal nem "valor contratado", e por isso decide sempre o Superintendente ou delegado. O roteiro está na seção 9.5.</w:t>
      </w:r>
    </w:p>
    <w:p>
      <w:pPr/>
      <w:r>
        <w:rPr>
          <w:b/>
        </w:rPr>
        <w:t xml:space="preserve">O fato pode ser fraude, conluio ou corrupção. A SUGESP apura?</w:t>
      </w:r>
      <w:r>
        <w:t xml:space="preserve"> Não. Ato lesivo da Lei 12.846 vai à CGE, que conduz o PAR e julga as duas leis em conjunto (seção 17.1). A SUGESP preserva as provas, adota as medidas contratuais urgentes e não abre sumário nem comissão sobre os mesmos fatos.</w:t>
      </w:r>
    </w:p>
    <w:p>
      <w:pPr>
        <w:pStyle w:val="Heading2"/>
      </w:pPr>
      <w:r>
        <w:t xml:space="preserve">9. Fase preparatória: notícia do fato e decisão de abrir o processo</w:t>
      </w:r>
    </w:p>
    <w:p>
      <w:pPr/>
      <w:r>
        <w:t xml:space="preserve">A maior parte das sanções anuladas cai por defeito nascido aqui: fato mal descrito, prova ausente ou cálculo misturado. A fase preparatória não pune ninguém; ela reúne o mínimo para decidir, com segurança, se há processo a abrir e qual.</w:t>
      </w:r>
    </w:p>
    <w:p>
      <w:pPr>
        <w:pStyle w:val="Heading3"/>
      </w:pPr>
      <w:r>
        <w:t xml:space="preserve">9.1 Notícia do fato</w:t>
      </w:r>
    </w:p>
    <w:p>
      <w:pPr/>
      <w:r>
        <w:t xml:space="preserve">Quem constata a irregularidade registra e comunica. Na execução, é o fiscal ao gestor (Dec. 28.874, art. 23, II a V); o gestor leva à autoridade, sugerindo a sanção (art. 20, V). Na licitação, o agente de contratação ou o pregoeiro registra em ata e comunica, sem julgar a conduta. Recomenda-se prazo de até 5 dias úteis entre a ciência e o registro formal no SEI, com a representação do modelo 21.10. Nos contratos com vários postos ou fiscais setoriais, o fiscal titular consolida os registros em uma única matriz: é um processo por contrato.</w:t>
      </w:r>
    </w:p>
    <w:p>
      <w:pPr/>
      <w:r>
        <w:t xml:space="preserve">A representação inicial deve conter:</w:t>
      </w:r>
    </w:p>
    <w:p>
      <w:pPr>
        <w:pStyle w:val="ListParagraph"/>
        <w:numPr>
          <w:ilvl w:val="0"/>
          <w:numId w:val="10"/>
        </w:numPr>
      </w:pPr>
      <w:r>
        <w:t xml:space="preserve">processo principal, contrato, ata ou edital, com número e cláusulas violadas;</w:t>
      </w:r>
    </w:p>
    <w:p>
      <w:pPr>
        <w:pStyle w:val="ListParagraph"/>
        <w:numPr>
          <w:ilvl w:val="0"/>
          <w:numId w:val="10"/>
        </w:numPr>
      </w:pPr>
      <w:r>
        <w:t xml:space="preserve">razão social, CNPJ, endereço e e-mail do licitante ou contratado;</w:t>
      </w:r>
    </w:p>
    <w:p>
      <w:pPr>
        <w:pStyle w:val="ListParagraph"/>
        <w:numPr>
          <w:ilvl w:val="0"/>
          <w:numId w:val="10"/>
        </w:numPr>
      </w:pPr>
      <w:r>
        <w:t xml:space="preserve">descrição de cada fato, com data, local, item, quantidade e período, sem expressões genéricas;</w:t>
      </w:r>
    </w:p>
    <w:p>
      <w:pPr>
        <w:pStyle w:val="ListParagraph"/>
        <w:numPr>
          <w:ilvl w:val="0"/>
          <w:numId w:val="10"/>
        </w:numPr>
      </w:pPr>
      <w:r>
        <w:t xml:space="preserve">provas: relatórios, fotos, ordens de serviço, registros de sistema, notificações e respostas;</w:t>
      </w:r>
    </w:p>
    <w:p>
      <w:pPr>
        <w:pStyle w:val="ListParagraph"/>
        <w:numPr>
          <w:ilvl w:val="0"/>
          <w:numId w:val="10"/>
        </w:numPr>
      </w:pPr>
      <w:r>
        <w:t xml:space="preserve">prejuízo efetivo ou potencial e o histórico de ocorrências anteriores;</w:t>
      </w:r>
    </w:p>
    <w:p>
      <w:pPr>
        <w:pStyle w:val="ListParagraph"/>
        <w:numPr>
          <w:ilvl w:val="0"/>
          <w:numId w:val="10"/>
        </w:numPr>
      </w:pPr>
      <w:r>
        <w:t xml:space="preserve">proposta de enquadramento no art. 155 e de sanção em tese.</w:t>
      </w:r>
    </w:p>
    <w:p>
      <w:pPr>
        <w:pStyle w:val="Heading3"/>
      </w:pPr>
      <w:r>
        <w:t xml:space="preserve">9.2 Medidas imediatas, antes de qualquer processo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Medida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Quando usar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Base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Notificação para corrigir</w:t>
            </w:r>
          </w:p>
        </w:tc>
        <w:tc>
          <w:tcPr>
            <w:tcW w:w="3120" w:type="dxa"/>
          </w:tcPr>
          <w:p>
            <w:pPr/>
            <w:r>
              <w:t xml:space="preserve">Falha sanável na execução</w:t>
            </w:r>
          </w:p>
        </w:tc>
        <w:tc>
          <w:tcPr>
            <w:tcW w:w="3120" w:type="dxa"/>
          </w:tcPr>
          <w:p>
            <w:pPr/>
            <w:r>
              <w:t xml:space="preserve">Dec. 28.874, art. 23, III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Constituição em mora</w:t>
            </w:r>
          </w:p>
        </w:tc>
        <w:tc>
          <w:tcPr>
            <w:tcW w:w="3120" w:type="dxa"/>
          </w:tcPr>
          <w:p>
            <w:pPr/>
            <w:r>
              <w:t xml:space="preserve">Atraso em obrigação com prazo</w:t>
            </w:r>
          </w:p>
        </w:tc>
        <w:tc>
          <w:tcPr>
            <w:tcW w:w="3120" w:type="dxa"/>
          </w:tcPr>
          <w:p>
            <w:pPr/>
            <w:r>
              <w:t xml:space="preserve">Dec. 28.874, art. 185, p.ú.; Lei 14.133, art. 162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Preservação de provas</w:t>
            </w:r>
          </w:p>
        </w:tc>
        <w:tc>
          <w:tcPr>
            <w:tcW w:w="3120" w:type="dxa"/>
          </w:tcPr>
          <w:p>
            <w:pPr/>
            <w:r>
              <w:t xml:space="preserve">Sempre: fotos, logs, cópias de sistema e e-mails</w:t>
            </w:r>
          </w:p>
        </w:tc>
        <w:tc>
          <w:tcPr>
            <w:tcW w:w="3120" w:type="dxa"/>
          </w:tcPr>
          <w:p>
            <w:pPr/>
            <w:r>
              <w:t xml:space="preserve">Lei 3.830, art. 47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Medida cautelar motivada</w:t>
            </w:r>
          </w:p>
        </w:tc>
        <w:tc>
          <w:tcPr>
            <w:tcW w:w="3120" w:type="dxa"/>
          </w:tcPr>
          <w:p>
            <w:pPr/>
            <w:r>
              <w:t xml:space="preserve">Risco iminente de dano de difícil reparação</w:t>
            </w:r>
          </w:p>
        </w:tc>
        <w:tc>
          <w:tcPr>
            <w:tcW w:w="3120" w:type="dxa"/>
          </w:tcPr>
          <w:p>
            <w:pPr/>
            <w:r>
              <w:t xml:space="preserve">Lei 3.830, art. 63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Ocupação provisória de bens e pessoal</w:t>
            </w:r>
          </w:p>
        </w:tc>
        <w:tc>
          <w:tcPr>
            <w:tcW w:w="3120" w:type="dxa"/>
          </w:tcPr>
          <w:p>
            <w:pPr/>
            <w:r>
              <w:t xml:space="preserve">Serviço essencial em risco ou necessidade de acautelar a apuração de faltas</w:t>
            </w:r>
          </w:p>
        </w:tc>
        <w:tc>
          <w:tcPr>
            <w:tcW w:w="3120" w:type="dxa"/>
          </w:tcPr>
          <w:p>
            <w:pPr/>
            <w:r>
              <w:t xml:space="preserve">Lei 14.133, art. 104, V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Retenção por irregularidade trabalhista</w:t>
            </w:r>
          </w:p>
        </w:tc>
        <w:tc>
          <w:tcPr>
            <w:tcW w:w="3120" w:type="dxa"/>
          </w:tcPr>
          <w:p>
            <w:pPr/>
            <w:r>
              <w:t xml:space="preserve">Serviço com mão de obra exclusiva</w:t>
            </w:r>
          </w:p>
        </w:tc>
        <w:tc>
          <w:tcPr>
            <w:tcW w:w="3120" w:type="dxa"/>
          </w:tcPr>
          <w:p>
            <w:pPr/>
            <w:r>
              <w:t xml:space="preserve">Dec. 28.874, art. 26, §§ 1º e 2º</w:t>
            </w:r>
          </w:p>
        </w:tc>
      </w:tr>
    </w:tbl>
    <w:p>
      <w:pPr/>
      <w:r>
        <w:rPr>
          <w:b/>
        </w:rPr>
        <w:t xml:space="preserve">Falha corrigida no prazo.</w:t>
      </w:r>
      <w:r>
        <w:t xml:space="preserve"> Se a empresa corrige a falha no prazo da notificação, registre na matriz de ocorrências e na avaliação de desempenho e aplique a glosa ou o ajuste do IMR, se houver. Abra o rito sumário se: (a) houve prejuízo ao serviço ou à Administração, ainda que a falha tenha sido corrigida; (b) a mesma falha se repetiu no contrato nos últimos 12 meses ou depois de 2 notificações; ou (c) o contrato prevê multa por ocorrência, independentemente de correção. Fora dessas hipóteses, o gestor registra em despacho a decisão motivada de não instaurar. O critério é deste manual e deve ser confirmado na portaria de aprovação.</w:t>
      </w:r>
    </w:p>
    <w:p>
      <w:pPr>
        <w:pStyle w:val="Heading3"/>
      </w:pPr>
      <w:r>
        <w:t xml:space="preserve">9.3 Diligências preliminares</w:t>
      </w:r>
    </w:p>
    <w:p>
      <w:pPr/>
      <w:r>
        <w:t xml:space="preserve">Antes de intimar a empresa, complete o dossiê. A experiência da própria SUGESP mostra que a falta destes cinco produtos impede a decisão:</w:t>
      </w:r>
    </w:p>
    <w:p>
      <w:pPr>
        <w:pStyle w:val="ListParagraph"/>
        <w:numPr>
          <w:ilvl w:val="0"/>
          <w:numId w:val="11"/>
        </w:numPr>
      </w:pPr>
      <w:r>
        <w:rPr>
          <w:b/>
        </w:rPr>
        <w:t xml:space="preserve">Matriz de ocorrências</w:t>
      </w:r>
      <w:r>
        <w:t xml:space="preserve">: uma linha por obrigação e evento, com data de exigibilidade, data de cumprimento, prova e observação.</w:t>
      </w:r>
    </w:p>
    <w:p>
      <w:pPr>
        <w:pStyle w:val="ListParagraph"/>
        <w:numPr>
          <w:ilvl w:val="0"/>
          <w:numId w:val="11"/>
        </w:numPr>
      </w:pPr>
      <w:r>
        <w:rPr>
          <w:b/>
        </w:rPr>
        <w:t xml:space="preserve">Certidão de comunicações</w:t>
      </w:r>
      <w:r>
        <w:t xml:space="preserve">: datas de envio e recebimento de cada notificação, anexos enviados e decurso dos prazos.</w:t>
      </w:r>
    </w:p>
    <w:p>
      <w:pPr>
        <w:pStyle w:val="ListParagraph"/>
        <w:numPr>
          <w:ilvl w:val="0"/>
          <w:numId w:val="11"/>
        </w:numPr>
      </w:pPr>
      <w:r>
        <w:rPr>
          <w:b/>
        </w:rPr>
        <w:t xml:space="preserve">Proposta e planilha de custos</w:t>
      </w:r>
      <w:r>
        <w:t xml:space="preserve"> da contratada, para saber quanto do preço corresponde ao item não entregue.</w:t>
      </w:r>
    </w:p>
    <w:p>
      <w:pPr>
        <w:pStyle w:val="ListParagraph"/>
        <w:numPr>
          <w:ilvl w:val="0"/>
          <w:numId w:val="11"/>
        </w:numPr>
      </w:pPr>
      <w:r>
        <w:rPr>
          <w:b/>
        </w:rPr>
        <w:t xml:space="preserve">Memória de recomposição financeira</w:t>
      </w:r>
      <w:r>
        <w:t xml:space="preserve">: só o que foi pago sem contraprestação (glosa ou restituição).</w:t>
      </w:r>
    </w:p>
    <w:p>
      <w:pPr>
        <w:pStyle w:val="ListParagraph"/>
        <w:numPr>
          <w:ilvl w:val="0"/>
          <w:numId w:val="11"/>
        </w:numPr>
      </w:pPr>
      <w:r>
        <w:rPr>
          <w:b/>
        </w:rPr>
        <w:t xml:space="preserve">Memória de multa</w:t>
      </w:r>
      <w:r>
        <w:t xml:space="preserve">, separada: infração, cláusula, base, percentual, período, limites contratuais e legais.</w:t>
      </w:r>
    </w:p>
    <w:p>
      <w:pPr>
        <w:pStyle w:val="Heading3"/>
      </w:pPr>
      <w:r>
        <w:t xml:space="preserve">9.4 Abrir, arquivar ou remeter</w:t>
      </w:r>
    </w:p>
    <w:p>
      <w:pPr/>
      <w:r>
        <w:t xml:space="preserve">Não é uma fase a mais. É a decisão de quem tem competência para abrir o processo, registrada no próprio ato de abertura ou, se o caso for arquivado, em despacho motivado. Nota técnica da ASTEC ou da DIREX só quando houver dúvida real.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Resultado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Quando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Fundamento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Arquivamento motivado</w:t>
            </w:r>
          </w:p>
        </w:tc>
        <w:tc>
          <w:tcPr>
            <w:tcW w:w="3120" w:type="dxa"/>
          </w:tcPr>
          <w:p>
            <w:pPr/>
            <w:r>
              <w:t xml:space="preserve">Fato inexistente, atípico, justificado por fato superveniente comprovado, sem autoria ou prescrito (modelo 21.11)</w:t>
            </w:r>
          </w:p>
        </w:tc>
        <w:tc>
          <w:tcPr>
            <w:tcW w:w="3120" w:type="dxa"/>
          </w:tcPr>
          <w:p>
            <w:pPr/>
            <w:r>
              <w:t xml:space="preserve">Lei 3.830, arts. 13, I, e 66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Rito simplificado</w:t>
            </w:r>
          </w:p>
        </w:tc>
        <w:tc>
          <w:tcPr>
            <w:tcW w:w="3120" w:type="dxa"/>
          </w:tcPr>
          <w:p>
            <w:pPr/>
            <w:r>
              <w:t xml:space="preserve">Infração punível, em tese, só com advertência e/ou multa</w:t>
            </w:r>
          </w:p>
        </w:tc>
        <w:tc>
          <w:tcPr>
            <w:tcW w:w="3120" w:type="dxa"/>
          </w:tcPr>
          <w:p>
            <w:pPr/>
            <w:r>
              <w:t xml:space="preserve">Dec. 28.874, art. 185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Processo com comissão</w:t>
            </w:r>
          </w:p>
        </w:tc>
        <w:tc>
          <w:tcPr>
            <w:tcW w:w="3120" w:type="dxa"/>
          </w:tcPr>
          <w:p>
            <w:pPr/>
            <w:r>
              <w:t xml:space="preserve">Impedimento ou inidoneidade em tese, cumulados ou não com multa</w:t>
            </w:r>
          </w:p>
        </w:tc>
        <w:tc>
          <w:tcPr>
            <w:tcW w:w="3120" w:type="dxa"/>
          </w:tcPr>
          <w:p>
            <w:pPr/>
            <w:r>
              <w:t xml:space="preserve">Lei 14.133, art. 158; Dec. 28.874, art. 186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Remessa à CGE</w:t>
            </w:r>
          </w:p>
        </w:tc>
        <w:tc>
          <w:tcPr>
            <w:tcW w:w="3120" w:type="dxa"/>
          </w:tcPr>
          <w:p>
            <w:pPr/>
            <w:r>
              <w:t xml:space="preserve">Fato que também é ato lesivo da Lei 12.846 (seção 17.1)</w:t>
            </w:r>
          </w:p>
        </w:tc>
        <w:tc>
          <w:tcPr>
            <w:tcW w:w="3120" w:type="dxa"/>
          </w:tcPr>
          <w:p>
            <w:pPr/>
            <w:r>
              <w:t xml:space="preserve">Lei 14.133, art. 159; Dec. 28.874, arts. 186, II, e 187; Dec. 23.907/2019, arts. 2º e 8º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Comunicação externa</w:t>
            </w:r>
          </w:p>
        </w:tc>
        <w:tc>
          <w:tcPr>
            <w:tcW w:w="3120" w:type="dxa"/>
          </w:tcPr>
          <w:p>
            <w:pPr/>
            <w:r>
              <w:t xml:space="preserve">Indício de crime (MP), cartel (CADE) ou dano ao erário por agente (CEAP ou TCE)</w:t>
            </w:r>
          </w:p>
        </w:tc>
        <w:tc>
          <w:tcPr>
            <w:tcW w:w="3120" w:type="dxa"/>
          </w:tcPr>
          <w:p>
            <w:pPr/>
            <w:r>
              <w:t xml:space="preserve">Lei 14.133, art. 169, § 3º, II</w:t>
            </w:r>
          </w:p>
        </w:tc>
      </w:tr>
    </w:tbl>
    <w:p>
      <w:pPr/>
      <w:r>
        <w:rPr>
          <w:b/>
        </w:rPr>
        <w:t xml:space="preserve">Valor baixo não é motivo de arquivamento.</w:t>
      </w:r>
      <w:r>
        <w:t xml:space="preserve"> A lei não prevê arquivamento por valor irrisório, e o TCU entende que o processo deve ser autuado independentemente de prejuízo ao erário (Acórdão 316/2024-Plenário). A baixa gravidade se resolve na escolha da sanção, como a advertência, e na dosimetria.</w:t>
      </w:r>
    </w:p>
    <w:p>
      <w:pPr/>
      <w:r>
        <w:rPr>
          <w:b/>
        </w:rPr>
        <w:t xml:space="preserve">Investigação preliminar.</w:t>
      </w:r>
      <w:r>
        <w:t xml:space="preserve"> Em Rondônia, o PAR é precedido de investigação preliminar obrigatória, sigilosa e não punitiva (Dec. 23.907/2019, art. 2º; o Dec. 28.874, art. 187, p.ú., a trata como facultativa). A SUGESP não abre investigação própria: remete os autos à CGE com as provas que já tem (seção 17.1).</w:t>
      </w:r>
    </w:p>
    <w:p>
      <w:pPr>
        <w:pStyle w:val="Heading3"/>
      </w:pPr>
      <w:r>
        <w:t xml:space="preserve">9.5 Infrações na licitação e na contratação</w:t>
      </w:r>
    </w:p>
    <w:p>
      <w:pPr/>
      <w:r>
        <w:t xml:space="preserve">Na fase de licitação não há fiscal nem valor contratado, e a regra de competência muda: decide sempre o Superintendente, autoridade máxima do órgão responsável pela contratação, ou servidor com delegação publicada no DOE (Dec. 28.874, art. 186, I).</w:t>
      </w:r>
    </w:p>
    <w:p>
      <w:pPr>
        <w:pStyle w:val="ListParagraph"/>
        <w:numPr>
          <w:ilvl w:val="0"/>
          <w:numId w:val="12"/>
        </w:numPr>
      </w:pPr>
      <w:r>
        <w:t xml:space="preserve">O pregoeiro ou agente de contratação (SUPEL ou GCOM) registra o fato em ata, com o prazo concedido e a justificativa do licitante, e envia à GCONV, em até 5 dias úteis, a ata, o edital e as mensagens do sistema. Ele não julga a conduta.</w:t>
      </w:r>
    </w:p>
    <w:p>
      <w:pPr>
        <w:pStyle w:val="ListParagraph"/>
        <w:numPr>
          <w:ilvl w:val="0"/>
          <w:numId w:val="12"/>
        </w:numPr>
      </w:pPr>
      <w:r>
        <w:t xml:space="preserve">Salvo regra diversa no edital, apura a SUGESP.</w:t>
      </w:r>
    </w:p>
    <w:p>
      <w:pPr>
        <w:pStyle w:val="ListParagraph"/>
        <w:numPr>
          <w:ilvl w:val="0"/>
          <w:numId w:val="12"/>
        </w:numPr>
      </w:pPr>
      <w:r>
        <w:t xml:space="preserve">A GCONV autua. O despacho de abertura (rito sumário) ou a portaria (comissão) é do Superintendente, e o condutor é servidor da GCONV designado.</w:t>
      </w:r>
    </w:p>
    <w:p>
      <w:pPr>
        <w:pStyle w:val="ListParagraph"/>
        <w:numPr>
          <w:ilvl w:val="0"/>
          <w:numId w:val="12"/>
        </w:numPr>
      </w:pPr>
      <w:r>
        <w:t xml:space="preserve">Enquadramento: desistência declarada depois dos lances é inciso V; silêncio, sem enviar os documentos, é inciso IV; recusa em assinar o contrato ou a ata é inciso VI. Não use dois incisos para o mesmo fato.</w:t>
      </w:r>
    </w:p>
    <w:p>
      <w:pPr>
        <w:pStyle w:val="ListParagraph"/>
        <w:numPr>
          <w:ilvl w:val="0"/>
          <w:numId w:val="12"/>
        </w:numPr>
      </w:pPr>
      <w:r>
        <w:t xml:space="preserve">A multa incide sobre o valor estimado ou licitado do item ou lote, na forma do edital.</w:t>
      </w:r>
    </w:p>
    <w:p>
      <w:pPr>
        <w:pStyle w:val="ListParagraph"/>
        <w:numPr>
          <w:ilvl w:val="0"/>
          <w:numId w:val="12"/>
        </w:numPr>
      </w:pPr>
      <w:r>
        <w:t xml:space="preserve">Um processo por empresa, ainda que as desistências ocorram na mesma sessão.</w:t>
      </w:r>
    </w:p>
    <w:p>
      <w:pPr>
        <w:pStyle w:val="ListParagraph"/>
        <w:numPr>
          <w:ilvl w:val="0"/>
          <w:numId w:val="12"/>
        </w:numPr>
      </w:pPr>
      <w:r>
        <w:t xml:space="preserve">Falha sanável por diligência não é infração (Lei 14.133, art. 64), e fato superveniente comprovado afasta o inciso V.</w:t>
      </w:r>
    </w:p>
    <w:p>
      <w:pPr>
        <w:pStyle w:val="Heading2"/>
      </w:pPr>
      <w:r>
        <w:t xml:space="preserve">10. Instauração e condução</w:t>
      </w:r>
    </w:p>
    <w:p>
      <w:pPr/>
      <w:r>
        <w:t xml:space="preserve">O ato de instauração fixa os limites do processo: a empresa só pode ser punida pelos fatos nele descritos. Ele escolhe o rito, designa quem conduz e informa as sanções em tese. Como escolher entre o rito sumário e o processo com comissão está nas seções 8.1 a 8.6.</w:t>
      </w:r>
    </w:p>
    <w:p>
      <w:pPr>
        <w:pStyle w:val="Heading3"/>
      </w:pPr>
      <w:r>
        <w:t xml:space="preserve">10.1 Escolha do rito</w:t>
      </w:r>
    </w:p>
    <w:p>
      <w:pPr/>
      <w:r>
        <w:t xml:space="preserve">O caminho é escolhido no próprio ato de abertura, pelos critérios da seção 8: rito simplificado para advertência e multa, com decisão da fiscalização até 5% ou do Superintendente acima disso; comissão para impedimento e inidoneidade; CGE para ato lesivo da Lei 12.846.</w:t>
      </w:r>
    </w:p>
    <w:p>
      <w:pPr/>
      <w:r>
        <w:rPr>
          <w:b/>
        </w:rPr>
        <w:t xml:space="preserve">Base de cálculo dos 5%.</w:t>
      </w:r>
      <w:r>
        <w:t xml:space="preserve"> O limite da fiscalização se mede sobre o valor contratado definido no edital; na omissão, sobre o valor inicial do contrato ou o da prorrogação vigente. Ele considera a soma das multas do mesmo processo, inclusive a mora acumulada até a decisão (seção 6.3). Se a soma puder superar 5%, quem decide é o Superintendente.</w:t>
      </w:r>
    </w:p>
    <w:p>
      <w:pPr/>
      <w:r>
        <w:rPr>
          <w:b/>
        </w:rPr>
        <w:t xml:space="preserve">Conversão de rito.</w:t>
      </w:r>
      <w:r>
        <w:t xml:space="preserve"> Se a instrução revelar fato mais grave, como grave dano, inexecução total, fraude ou indício de ato lesivo, o processo é convertido antes da decisão: novo ato delimitador, designação da comissão, nova intimação e prazo de defesa integral (modelo 21.16). Se o fato novo for ato lesivo da Lei 12.846, os autos vão à CGE.</w:t>
      </w:r>
    </w:p>
    <w:p>
      <w:pPr>
        <w:pStyle w:val="Heading3"/>
      </w:pPr>
      <w:r>
        <w:t xml:space="preserve">10.2 Conteúdo mínimo do ato de instauração</w:t>
      </w:r>
    </w:p>
    <w:p>
      <w:pPr>
        <w:pStyle w:val="ListParagraph"/>
        <w:numPr>
          <w:ilvl w:val="0"/>
          <w:numId w:val="13"/>
        </w:numPr>
      </w:pPr>
      <w:r>
        <w:t xml:space="preserve">Identificação do licitante ou contratado (razão social e CNPJ) e do contrato, ata ou certame.</w:t>
      </w:r>
    </w:p>
    <w:p>
      <w:pPr>
        <w:pStyle w:val="ListParagraph"/>
        <w:numPr>
          <w:ilvl w:val="0"/>
          <w:numId w:val="13"/>
        </w:numPr>
      </w:pPr>
      <w:r>
        <w:t xml:space="preserve">Descrição individualizada de cada fato, com data, período e documentos SEI que o sustentam.</w:t>
      </w:r>
    </w:p>
    <w:p>
      <w:pPr>
        <w:pStyle w:val="ListParagraph"/>
        <w:numPr>
          <w:ilvl w:val="0"/>
          <w:numId w:val="13"/>
        </w:numPr>
      </w:pPr>
      <w:r>
        <w:t xml:space="preserve">Enquadramento provisório no art. 155 e nas cláusulas do edital ou contrato.</w:t>
      </w:r>
    </w:p>
    <w:p>
      <w:pPr>
        <w:pStyle w:val="ListParagraph"/>
        <w:numPr>
          <w:ilvl w:val="0"/>
          <w:numId w:val="13"/>
        </w:numPr>
      </w:pPr>
      <w:r>
        <w:t xml:space="preserve">Sanções em tese, sem antecipar juízo de culpa.</w:t>
      </w:r>
    </w:p>
    <w:p>
      <w:pPr>
        <w:pStyle w:val="ListParagraph"/>
        <w:numPr>
          <w:ilvl w:val="0"/>
          <w:numId w:val="13"/>
        </w:numPr>
      </w:pPr>
      <w:r>
        <w:t xml:space="preserve">Data da primeira ciência da infração e data estimada da prescrição, a ser conferida em cada fase.</w:t>
      </w:r>
    </w:p>
    <w:p>
      <w:pPr>
        <w:pStyle w:val="ListParagraph"/>
        <w:numPr>
          <w:ilvl w:val="0"/>
          <w:numId w:val="13"/>
        </w:numPr>
      </w:pPr>
      <w:r>
        <w:t xml:space="preserve">Rito adotado e sua justificativa; no rito sumário para os incisos II a VII, por que a sanção restritiva seria desproporcional.</w:t>
      </w:r>
    </w:p>
    <w:p>
      <w:pPr>
        <w:pStyle w:val="ListParagraph"/>
        <w:numPr>
          <w:ilvl w:val="0"/>
          <w:numId w:val="13"/>
        </w:numPr>
      </w:pPr>
      <w:r>
        <w:t xml:space="preserve">Condutor ou comissão designados, com matrícula e declaração de ausência de impedimento (modelo 21.13).</w:t>
      </w:r>
    </w:p>
    <w:p>
      <w:pPr>
        <w:pStyle w:val="ListParagraph"/>
        <w:numPr>
          <w:ilvl w:val="0"/>
          <w:numId w:val="13"/>
        </w:numPr>
      </w:pPr>
      <w:r>
        <w:t xml:space="preserve">Prazo para conclusão: 90 dias corridos no rito simplificado, 120 no processo com comissão e 150 na inidoneidade, prorrogáveis por decisão motivada.</w:t>
      </w:r>
    </w:p>
    <w:p>
      <w:pPr>
        <w:pStyle w:val="ListParagraph"/>
        <w:numPr>
          <w:ilvl w:val="0"/>
          <w:numId w:val="13"/>
        </w:numPr>
      </w:pPr>
      <w:r>
        <w:t xml:space="preserve">Determinação à GCONV para notificar o emissor da garantia (Lei 14.133, art. 137, § 4º).</w:t>
      </w:r>
    </w:p>
    <w:p>
      <w:pPr>
        <w:pStyle w:val="ListParagraph"/>
        <w:numPr>
          <w:ilvl w:val="0"/>
          <w:numId w:val="13"/>
        </w:numPr>
      </w:pPr>
      <w:r>
        <w:t xml:space="preserve">Registro de que fatos conexos não incluídos (por exemplo, questões trabalhistas) serão tratados em autos próprios, se for o caso.</w:t>
      </w:r>
    </w:p>
    <w:p>
      <w:pPr>
        <w:pStyle w:val="Heading3"/>
      </w:pPr>
      <w:r>
        <w:t xml:space="preserve">10.3 A comissão processante</w:t>
      </w:r>
    </w:p>
    <w:p>
      <w:pPr>
        <w:pStyle w:val="ListParagraph"/>
        <w:numPr>
          <w:ilvl w:val="0"/>
          <w:numId w:val="14"/>
        </w:numPr>
      </w:pPr>
      <w:r>
        <w:rPr>
          <w:b/>
        </w:rPr>
        <w:t xml:space="preserve">Composição.</w:t>
      </w:r>
      <w:r>
        <w:t xml:space="preserve"> Dois ou mais servidores estáveis, ou seja, que já adquiriram estabilidade (CF, art. 41). Comissionado sem vínculo ou servidor em estágio probatório não completa o quórum mínimo.</w:t>
      </w:r>
    </w:p>
    <w:p>
      <w:pPr>
        <w:pStyle w:val="ListParagraph"/>
        <w:numPr>
          <w:ilvl w:val="0"/>
          <w:numId w:val="14"/>
        </w:numPr>
      </w:pPr>
      <w:r>
        <w:rPr>
          <w:b/>
        </w:rPr>
        <w:t xml:space="preserve">Imparcialidade.</w:t>
      </w:r>
      <w:r>
        <w:t xml:space="preserve"> Não integra a comissão quem atuou no fato, como o fiscal ou o pregoeiro do certame, nem quem tenha impedimento ou suspeição (Lei 3.830, arts. 37 a 39). O fiscal participa como informante ou testemunha.</w:t>
      </w:r>
    </w:p>
    <w:p>
      <w:pPr>
        <w:pStyle w:val="ListParagraph"/>
        <w:numPr>
          <w:ilvl w:val="0"/>
          <w:numId w:val="14"/>
        </w:numPr>
      </w:pPr>
      <w:r>
        <w:rPr>
          <w:b/>
        </w:rPr>
        <w:t xml:space="preserve">Permanente ou especial.</w:t>
      </w:r>
      <w:r>
        <w:t xml:space="preserve"> A SUGESP pode manter comissão permanente, designada por portaria publicada no DOE, o que dá escala e especialização. O próprio TCE-RO adota esse modelo para os seus contratos.</w:t>
      </w:r>
    </w:p>
    <w:p>
      <w:pPr>
        <w:pStyle w:val="ListParagraph"/>
        <w:numPr>
          <w:ilvl w:val="0"/>
          <w:numId w:val="14"/>
        </w:numPr>
      </w:pPr>
      <w:r>
        <w:rPr>
          <w:b/>
        </w:rPr>
        <w:t xml:space="preserve">Apoio.</w:t>
      </w:r>
      <w:r>
        <w:t xml:space="preserve"> A GCONV secretaria a comissão: autuação, controle de prazos, expedição de intimações e certidões.</w:t>
      </w:r>
    </w:p>
    <w:p>
      <w:pPr>
        <w:pStyle w:val="ListParagraph"/>
        <w:numPr>
          <w:ilvl w:val="0"/>
          <w:numId w:val="14"/>
        </w:numPr>
      </w:pPr>
      <w:r>
        <w:rPr>
          <w:b/>
        </w:rPr>
        <w:t xml:space="preserve">Atribuições.</w:t>
      </w:r>
      <w:r>
        <w:t xml:space="preserve"> Avaliar fatos e circunstâncias, intimar, decidir sobre provas, realizar diligências e elaborar o relatório final (Lei 14.133, art. 158).</w:t>
      </w:r>
    </w:p>
    <w:p>
      <w:pPr>
        <w:pStyle w:val="Heading3"/>
      </w:pPr>
      <w:r>
        <w:t xml:space="preserve">10.4 Efeitos da instauração</w:t>
      </w:r>
    </w:p>
    <w:p>
      <w:pPr>
        <w:pStyle w:val="ListParagraph"/>
        <w:numPr>
          <w:ilvl w:val="0"/>
          <w:numId w:val="15"/>
        </w:numPr>
      </w:pPr>
      <w:r>
        <w:rPr>
          <w:b/>
        </w:rPr>
        <w:t xml:space="preserve">Prescrição.</w:t>
      </w:r>
      <w:r>
        <w:t xml:space="preserve"> A instauração do processo de responsabilização do art. 158 interrompe a prescrição (art. 158, § 4º, I). Para o rito simplificado, ver a cautela da seção 14.</w:t>
      </w:r>
    </w:p>
    <w:p>
      <w:pPr>
        <w:pStyle w:val="ListParagraph"/>
        <w:numPr>
          <w:ilvl w:val="0"/>
          <w:numId w:val="15"/>
        </w:numPr>
      </w:pPr>
      <w:r>
        <w:rPr>
          <w:b/>
        </w:rPr>
        <w:t xml:space="preserve">Publicidade da instauração.</w:t>
      </w:r>
      <w:r>
        <w:t xml:space="preserve"> No processo com comissão, publique no DOE extrato da portaria com número, processo SEI, iniciais da razão social, dois primeiros e dois últimos dígitos do CNPJ e membros da comissão, sem descrever os fatos (padrão do Dec. 23.907/2019, art. 9º). A portaria vigora a partir dessa publicação (Lei 3.830, art. 20); publique em até 2 dias úteis da assinatura. No rito simplificado, o despacho vale da assinatura, e a empresa toma ciência pela intimação (art. 21).</w:t>
      </w:r>
    </w:p>
    <w:p>
      <w:pPr>
        <w:pStyle w:val="ListParagraph"/>
        <w:numPr>
          <w:ilvl w:val="0"/>
          <w:numId w:val="15"/>
        </w:numPr>
      </w:pPr>
      <w:r>
        <w:rPr>
          <w:b/>
        </w:rPr>
        <w:t xml:space="preserve">Acesso aos autos.</w:t>
      </w:r>
      <w:r>
        <w:t xml:space="preserve"> Classifique como restrito no SEI apenas o documento que tenha hipótese legal: dado pessoal (LGPD; Lei 12.527/2011, art. 31); sigilo fiscal, bancário ou empresarial; documento preparatório até a decisão (Lei 12.527, art. 7º, § 3º). A empresa processada e seus advogados têm acesso integral. Decidido o processo, o acesso é a regra.</w:t>
      </w:r>
    </w:p>
    <w:p>
      <w:pPr>
        <w:pStyle w:val="ListParagraph"/>
        <w:numPr>
          <w:ilvl w:val="0"/>
          <w:numId w:val="15"/>
        </w:numPr>
      </w:pPr>
      <w:r>
        <w:rPr>
          <w:b/>
        </w:rPr>
        <w:t xml:space="preserve">Contrato em curso.</w:t>
      </w:r>
      <w:r>
        <w:t xml:space="preserve"> A instauração não suspende pagamentos devidos por serviço executado, e a parcela incontroversa é sempre paga (Lei 14.133, art. 143). Retenção só nos casos da seção 6.3.</w:t>
      </w:r>
    </w:p>
    <w:p>
      <w:pPr/>
      <w:r>
        <w:rPr>
          <w:b/>
        </w:rPr>
        <w:t xml:space="preserve">Garantia contratual.</w:t>
      </w:r>
      <w:r>
        <w:t xml:space="preserve"> Aberto o processo por descumprimento de cláusula contratual, em qualquer dos ritos, a GCONV notifica no mesmo dia o emissor da garantia (seguradora ou banco), com cópia do ato de abertura, e confere a vigência e as condições da apólice. A notificação é obrigatória (Lei 14.133, art. 137, § 4º); sem ela, a execução da garantia fica em risco.</w:t>
      </w:r>
    </w:p>
    <w:p>
      <w:pPr>
        <w:pStyle w:val="Heading3"/>
      </w:pPr>
      <w:r>
        <w:t xml:space="preserve">10.5 Extinção do contrato junto com o processo sancionatório</w:t>
      </w:r>
    </w:p>
    <w:p>
      <w:pPr/>
      <w:r>
        <w:t xml:space="preserve">Quando a infração também justifica extinguir o contrato, as duas medidas podem correr no mesmo processo SEI, com fundamentos, decisões e recursos próprios.</w:t>
      </w:r>
    </w:p>
    <w:p>
      <w:pPr>
        <w:pStyle w:val="ListParagraph"/>
        <w:numPr>
          <w:ilvl w:val="0"/>
          <w:numId w:val="16"/>
        </w:numPr>
      </w:pPr>
      <w:r>
        <w:rPr>
          <w:b/>
        </w:rPr>
        <w:t xml:space="preserve">Intimação conjunta.</w:t>
      </w:r>
      <w:r>
        <w:t xml:space="preserve"> Um só termo, com tópicos separados: extinção (Lei 14.133, art. 137, I ou II) e sanção (art. 155). Use a variante do modelo 21.4.</w:t>
      </w:r>
    </w:p>
    <w:p>
      <w:pPr>
        <w:pStyle w:val="ListParagraph"/>
        <w:numPr>
          <w:ilvl w:val="0"/>
          <w:numId w:val="16"/>
        </w:numPr>
      </w:pPr>
      <w:r>
        <w:rPr>
          <w:b/>
        </w:rPr>
        <w:t xml:space="preserve">Decisões separadas.</w:t>
      </w:r>
      <w:r>
        <w:t xml:space="preserve"> A extinção tem recurso de 3 dias úteis (art. 165, I, "e"); a sanção, de 15 dias úteis (art. 166).</w:t>
      </w:r>
    </w:p>
    <w:p>
      <w:pPr>
        <w:pStyle w:val="ListParagraph"/>
        <w:numPr>
          <w:ilvl w:val="0"/>
          <w:numId w:val="16"/>
        </w:numPr>
      </w:pPr>
      <w:r>
        <w:rPr>
          <w:b/>
        </w:rPr>
        <w:t xml:space="preserve">Ordem.</w:t>
      </w:r>
      <w:r>
        <w:t xml:space="preserve"> A extinção pode ser decidida antes, para liberar a contratação do remanescente (art. 90, § 7º) ou a assunção do objeto (art. 139, I). A sanção segue seu rito.</w:t>
      </w:r>
    </w:p>
    <w:p>
      <w:pPr>
        <w:pStyle w:val="ListParagraph"/>
        <w:numPr>
          <w:ilvl w:val="0"/>
          <w:numId w:val="16"/>
        </w:numPr>
      </w:pPr>
      <w:r>
        <w:rPr>
          <w:b/>
        </w:rPr>
        <w:t xml:space="preserve">Créditos e garantia.</w:t>
      </w:r>
      <w:r>
        <w:t xml:space="preserve"> Extinto o contrato, a retenção de créditos e a execução da garantia ficam limitadas aos prejuízos e às multas aplicadas (art. 139, III e IV).</w:t>
      </w:r>
    </w:p>
    <w:p>
      <w:pPr>
        <w:pStyle w:val="Heading2"/>
      </w:pPr>
      <w:r>
        <w:t xml:space="preserve">11. Intimação, defesa, provas e alegações finais</w:t>
      </w:r>
    </w:p>
    <w:p>
      <w:pPr/>
      <w:r>
        <w:t xml:space="preserve">A intimação válida é o ponto em que o processo começa a correr contra a empresa. Ela precisa provar duas coisas: que a empresa recebeu o ato e que recebeu tudo o que precisava para se defender.</w:t>
      </w:r>
    </w:p>
    <w:p>
      <w:pPr>
        <w:pStyle w:val="Heading3"/>
      </w:pPr>
      <w:r>
        <w:t xml:space="preserve">11.1 Conteúdo da intimação para defesa</w:t>
      </w:r>
    </w:p>
    <w:p>
      <w:pPr>
        <w:pStyle w:val="ListParagraph"/>
        <w:numPr>
          <w:ilvl w:val="0"/>
          <w:numId w:val="17"/>
        </w:numPr>
      </w:pPr>
      <w:r>
        <w:t xml:space="preserve">identificação da empresa, do contrato ou certame e do processo SEI;</w:t>
      </w:r>
    </w:p>
    <w:p>
      <w:pPr>
        <w:pStyle w:val="ListParagraph"/>
        <w:numPr>
          <w:ilvl w:val="0"/>
          <w:numId w:val="17"/>
        </w:numPr>
      </w:pPr>
      <w:r>
        <w:t xml:space="preserve">cada fato imputado, com data, período e prova correspondente;</w:t>
      </w:r>
    </w:p>
    <w:p>
      <w:pPr>
        <w:pStyle w:val="ListParagraph"/>
        <w:numPr>
          <w:ilvl w:val="0"/>
          <w:numId w:val="17"/>
        </w:numPr>
      </w:pPr>
      <w:r>
        <w:t xml:space="preserve">dispositivos e cláusulas em tese violados e sanções em tese;</w:t>
      </w:r>
    </w:p>
    <w:p>
      <w:pPr>
        <w:pStyle w:val="ListParagraph"/>
        <w:numPr>
          <w:ilvl w:val="0"/>
          <w:numId w:val="17"/>
        </w:numPr>
      </w:pPr>
      <w:r>
        <w:t xml:space="preserve">memória de cálculo da multa, se proposta, e, em documento separado, a da glosa ou ressarcimento, informando que esta não é sanção;</w:t>
      </w:r>
    </w:p>
    <w:p>
      <w:pPr>
        <w:pStyle w:val="ListParagraph"/>
        <w:numPr>
          <w:ilvl w:val="0"/>
          <w:numId w:val="17"/>
        </w:numPr>
      </w:pPr>
      <w:r>
        <w:t xml:space="preserve">prazo de 15 dias úteis, forma de envio da defesa e faculdade de juntar documentos, indicar testemunhas e requerer provas;</w:t>
      </w:r>
    </w:p>
    <w:p>
      <w:pPr>
        <w:pStyle w:val="ListParagraph"/>
        <w:numPr>
          <w:ilvl w:val="0"/>
          <w:numId w:val="17"/>
        </w:numPr>
      </w:pPr>
      <w:r>
        <w:t xml:space="preserve">forma de acesso integral aos autos (credenciamento como usuário externo no SEI ou cópia integral);</w:t>
      </w:r>
    </w:p>
    <w:p>
      <w:pPr>
        <w:pStyle w:val="ListParagraph"/>
        <w:numPr>
          <w:ilvl w:val="0"/>
          <w:numId w:val="17"/>
        </w:numPr>
      </w:pPr>
      <w:r>
        <w:t xml:space="preserve">pedido de informação sobre programa de integridade, se a empresa o tiver;</w:t>
      </w:r>
    </w:p>
    <w:p>
      <w:pPr>
        <w:pStyle w:val="ListParagraph"/>
        <w:numPr>
          <w:ilvl w:val="0"/>
          <w:numId w:val="17"/>
        </w:numPr>
      </w:pPr>
      <w:r>
        <w:t xml:space="preserve">aviso de que o processo seguirá mesmo sem defesa (Lei 3.830, art. 44, V);</w:t>
      </w:r>
    </w:p>
    <w:p>
      <w:pPr>
        <w:pStyle w:val="ListParagraph"/>
        <w:numPr>
          <w:ilvl w:val="0"/>
          <w:numId w:val="17"/>
        </w:numPr>
      </w:pPr>
      <w:r>
        <w:t xml:space="preserve">identificação de quem conduz o processo e da autoridade que decidirá; pedido de indicação de e-mail para as próximas intimações e de procuração, se houver advogado; canais de protocolo e tipos de procuração e de assinatura aceitos (modelo 21.4).</w:t>
      </w:r>
    </w:p>
    <w:p>
      <w:pPr>
        <w:pStyle w:val="Heading3"/>
      </w:pPr>
      <w:r>
        <w:t xml:space="preserve">11.2 Meios de intimação, em ordem de preferência</w:t>
      </w:r>
    </w:p>
    <w:p>
      <w:pPr>
        <w:pStyle w:val="ListParagraph"/>
        <w:numPr>
          <w:ilvl w:val="0"/>
          <w:numId w:val="18"/>
        </w:numPr>
      </w:pPr>
      <w:r>
        <w:rPr>
          <w:b/>
        </w:rPr>
        <w:t xml:space="preserve">Eletrônico</w:t>
      </w:r>
      <w:r>
        <w:t xml:space="preserve">: SEI (usuário externo) ou e-mail indicado no contrato, com confirmação de leitura ou resposta; a data da confirmação vale como data da disponibilização. Inclua nos editais e contratos cláusula que torne válida a comunicação no e-mail cadastrado.</w:t>
      </w:r>
    </w:p>
    <w:p>
      <w:pPr>
        <w:pStyle w:val="ListParagraph"/>
        <w:numPr>
          <w:ilvl w:val="0"/>
          <w:numId w:val="18"/>
        </w:numPr>
      </w:pPr>
      <w:r>
        <w:rPr>
          <w:b/>
        </w:rPr>
        <w:t xml:space="preserve">Ciência pessoal</w:t>
      </w:r>
      <w:r>
        <w:t xml:space="preserve"> do representante legal nos autos.</w:t>
      </w:r>
    </w:p>
    <w:p>
      <w:pPr>
        <w:pStyle w:val="ListParagraph"/>
        <w:numPr>
          <w:ilvl w:val="0"/>
          <w:numId w:val="18"/>
        </w:numPr>
      </w:pPr>
      <w:r>
        <w:rPr>
          <w:b/>
        </w:rPr>
        <w:t xml:space="preserve">Correios com aviso de recebimento</w:t>
      </w:r>
      <w:r>
        <w:t xml:space="preserve"> no endereço do contrato e no endereço atualizado na Receita Federal.</w:t>
      </w:r>
    </w:p>
    <w:p>
      <w:pPr>
        <w:pStyle w:val="ListParagraph"/>
        <w:numPr>
          <w:ilvl w:val="0"/>
          <w:numId w:val="18"/>
        </w:numPr>
      </w:pPr>
      <w:r>
        <w:rPr>
          <w:b/>
        </w:rPr>
        <w:t xml:space="preserve">Edital no DOE</w:t>
      </w:r>
      <w:r>
        <w:t xml:space="preserve">, quando o AR voltar sem recebimento ou a comunicação eletrônica não for confirmada, após certificar as tentativas (Dec. 28.874, art. 184, § 3º; Lei 3.830, art. 44, § 3º).</w:t>
      </w:r>
    </w:p>
    <w:p>
      <w:pPr/>
      <w:r>
        <w:t xml:space="preserve">Toda intimação gera certidão nos autos com data, meio e documento comprobatório. Se houver advogado constituído, intime também o advogado, com nome e número de inscrição na OAB (Lei 3.830, art. 36-E). O comparecimento espontâneo da empresa supre a falha de intimação (art. 44, § 4º).</w:t>
      </w:r>
    </w:p>
    <w:p>
      <w:pPr>
        <w:pStyle w:val="Heading3"/>
      </w:pPr>
      <w:r>
        <w:t xml:space="preserve">11.3 Contagem dos prazos</w:t>
      </w:r>
    </w:p>
    <w:p>
      <w:pPr>
        <w:pStyle w:val="ListParagraph"/>
        <w:numPr>
          <w:ilvl w:val="0"/>
          <w:numId w:val="19"/>
        </w:numPr>
      </w:pPr>
      <w:r>
        <w:rPr>
          <w:b/>
        </w:rPr>
        <w:t xml:space="preserve">Contagem.</w:t>
      </w:r>
      <w:r>
        <w:t xml:space="preserve"> Exclui-se o dia do começo e inclui-se o do vencimento; contam-se só dias com expediente no órgão (Lei 14.133, art. 183; Lei 3.830, art. 84).</w:t>
      </w:r>
    </w:p>
    <w:p>
      <w:pPr>
        <w:pStyle w:val="ListParagraph"/>
        <w:numPr>
          <w:ilvl w:val="0"/>
          <w:numId w:val="19"/>
        </w:numPr>
      </w:pPr>
      <w:r>
        <w:rPr>
          <w:b/>
        </w:rPr>
        <w:t xml:space="preserve">Dia do começo.</w:t>
      </w:r>
      <w:r>
        <w:t xml:space="preserve"> É o primeiro dia útil seguinte à disponibilização eletrônica, ou a data da juntada do AR aos autos (art. 183, § 1º). O primeiro dia contado é o dia útil seguinte ao dia do começo. Exemplo: intimação disponibilizada no SEI na segunda-feira; dia do começo, terça; primeiro dia do prazo, quarta.</w:t>
      </w:r>
    </w:p>
    <w:p>
      <w:pPr>
        <w:pStyle w:val="ListParagraph"/>
        <w:numPr>
          <w:ilvl w:val="0"/>
          <w:numId w:val="19"/>
        </w:numPr>
      </w:pPr>
      <w:r>
        <w:rPr>
          <w:b/>
        </w:rPr>
        <w:t xml:space="preserve">Vencimento.</w:t>
      </w:r>
      <w:r>
        <w:t xml:space="preserve"> Se cair em dia sem expediente ou com expediente encerrado mais cedo, prorroga-se para o primeiro dia útil seguinte (art. 183, § 2º). A certidão registra o cálculo dia a dia (modelo 21.14).</w:t>
      </w:r>
    </w:p>
    <w:p>
      <w:pPr>
        <w:pStyle w:val="ListParagraph"/>
        <w:numPr>
          <w:ilvl w:val="0"/>
          <w:numId w:val="19"/>
        </w:numPr>
      </w:pPr>
      <w:r>
        <w:rPr>
          <w:b/>
        </w:rPr>
        <w:t xml:space="preserve">Suspensão.</w:t>
      </w:r>
      <w:r>
        <w:t xml:space="preserve"> Suspende-se o prazo, a pedido e com comprovação, quando o único advogado constituído estiver doente (até 30 dias), quando a única advogada constituída der à luz ou adotar (180 dias), ou quando o único advogado for pai ou adotante (30 dias) (Lei 3.830, arts. 36-L e 36-M). A suspensão é certificada nos autos.</w:t>
      </w:r>
    </w:p>
    <w:p>
      <w:pPr>
        <w:pStyle w:val="ListParagraph"/>
        <w:numPr>
          <w:ilvl w:val="0"/>
          <w:numId w:val="19"/>
        </w:numPr>
      </w:pPr>
      <w:r>
        <w:t xml:space="preserve">O prazo legal de 15 dias úteis não pode ser reduzido. Pode ser ampliado, em caráter excepcional, por decisão motivada.</w:t>
      </w:r>
    </w:p>
    <w:p>
      <w:pPr>
        <w:pStyle w:val="ListParagraph"/>
        <w:numPr>
          <w:ilvl w:val="0"/>
          <w:numId w:val="19"/>
        </w:numPr>
      </w:pPr>
      <w:r>
        <w:t xml:space="preserve">Prazos de notificações contratuais de 5 dias para corrigir falhas não substituem o prazo de defesa.</w:t>
      </w:r>
    </w:p>
    <w:p>
      <w:pPr>
        <w:pStyle w:val="Heading3"/>
      </w:pPr>
      <w:r>
        <w:t xml:space="preserve">11.4 Defesa, revelia e defesa técnica</w:t>
      </w:r>
    </w:p>
    <w:p>
      <w:pPr/>
      <w:r>
        <w:t xml:space="preserve">A ausência de defesa não torna verdadeiros os fatos nem implica renúncia de direito (Lei 3.830, art. 45). A Administração continua obrigada a provar a infração. A presença de advogado é facultativa (art. 8º, IV); por analogia, aplica-se a Súmula Vinculante nº 5 do STF, segundo a qual a falta de defesa técnica por advogado no processo administrativo disciplinar não ofende a Constituição.</w:t>
      </w:r>
    </w:p>
    <w:p>
      <w:pPr/>
      <w:r>
        <w:rPr>
          <w:b/>
        </w:rPr>
        <w:t xml:space="preserve">Defesa fora do prazo.</w:t>
      </w:r>
      <w:r>
        <w:t xml:space="preserve"> Junte-a e examine-a como alegação, se chegar antes da decisão (Lei 3.830, art. 56). A intempestividade só afasta o direito a nova dilação de prazo; desentranhar a peça gera risco de nulidade.</w:t>
      </w:r>
    </w:p>
    <w:p>
      <w:pPr>
        <w:pStyle w:val="Heading3"/>
      </w:pPr>
      <w:r>
        <w:t xml:space="preserve">11.5 Provas</w:t>
      </w:r>
    </w:p>
    <w:p>
      <w:pPr>
        <w:pStyle w:val="ListParagraph"/>
        <w:numPr>
          <w:ilvl w:val="0"/>
          <w:numId w:val="20"/>
        </w:numPr>
      </w:pPr>
      <w:r>
        <w:rPr>
          <w:b/>
        </w:rPr>
        <w:t xml:space="preserve">Admitidas:</w:t>
      </w:r>
      <w:r>
        <w:t xml:space="preserve"> documentos, testemunhas, perícia, inspeção e prova emprestada, desde que submetida a contraditório específico.</w:t>
      </w:r>
    </w:p>
    <w:p>
      <w:pPr>
        <w:pStyle w:val="ListParagraph"/>
        <w:numPr>
          <w:ilvl w:val="0"/>
          <w:numId w:val="20"/>
        </w:numPr>
      </w:pPr>
      <w:r>
        <w:rPr>
          <w:b/>
        </w:rPr>
        <w:t xml:space="preserve">Indeferidas por decisão fundamentada:</w:t>
      </w:r>
      <w:r>
        <w:t xml:space="preserve"> provas ilícitas, impertinentes, desnecessárias, protelatórias ou intempestivas (Lei 14.133, art. 158, § 3º; Lei 3.830, arts. 48 e 56, § 2º).</w:t>
      </w:r>
    </w:p>
    <w:p>
      <w:pPr>
        <w:pStyle w:val="ListParagraph"/>
        <w:numPr>
          <w:ilvl w:val="0"/>
          <w:numId w:val="20"/>
        </w:numPr>
      </w:pPr>
      <w:r>
        <w:rPr>
          <w:b/>
        </w:rPr>
        <w:t xml:space="preserve">Recorribilidade:</w:t>
      </w:r>
      <w:r>
        <w:t xml:space="preserve"> o indeferimento de provas é ato preparatório, sem recurso autônomo (Lei 3.830, art. 70, § 3º); a empresa pode questioná-lo no recurso contra a decisão final. Por isso, fundamente cada indeferimento.</w:t>
      </w:r>
    </w:p>
    <w:p>
      <w:pPr>
        <w:pStyle w:val="ListParagraph"/>
        <w:numPr>
          <w:ilvl w:val="0"/>
          <w:numId w:val="20"/>
        </w:numPr>
      </w:pPr>
      <w:r>
        <w:rPr>
          <w:b/>
        </w:rPr>
        <w:t xml:space="preserve">Documentos da própria Administração:</w:t>
      </w:r>
      <w:r>
        <w:t xml:space="preserve"> se a empresa indicar que a prova está em poder do Estado, cabe ao condutor obtê-la de ofício (Lei 3.830, art. 55).</w:t>
      </w:r>
    </w:p>
    <w:p>
      <w:pPr>
        <w:pStyle w:val="ListParagraph"/>
        <w:numPr>
          <w:ilvl w:val="0"/>
          <w:numId w:val="20"/>
        </w:numPr>
      </w:pPr>
      <w:r>
        <w:rPr>
          <w:b/>
        </w:rPr>
        <w:t xml:space="preserve">Diligências:</w:t>
      </w:r>
      <w:r>
        <w:t xml:space="preserve"> intime a empresa com pelo menos 3 dias úteis de antecedência de perícias, oitivas e inspeções, com data, hora e local (Lei 3.830, art. 59).</w:t>
      </w:r>
    </w:p>
    <w:p>
      <w:pPr>
        <w:pStyle w:val="Heading3"/>
      </w:pPr>
      <w:r>
        <w:t xml:space="preserve">11.6 Alegações finais</w:t>
      </w:r>
    </w:p>
    <w:p>
      <w:pPr/>
      <w:r>
        <w:t xml:space="preserve">Encerrada a instrução, a empresa é sempre intimada para alegações finais antes do relatório, em qualquer rito, haja ou não prova nova (Lei 3.830, arts. 6º, IX, 62 e 67). No processo com comissão, o prazo é de 15 dias úteis (Lei 14.133, art. 158, § 2º). No rito simplificado, é de 10 dias úteis (Lei 3.830, arts. 62 e 84). A intimação declara encerrada a instrução e dá acesso a todos os documentos juntados depois da defesa (modelo 21.15). Decidir sem essa etapa expõe o processo a anulação por cerceamento de defesa.</w:t>
      </w:r>
    </w:p>
    <w:p>
      <w:pPr>
        <w:pStyle w:val="Heading2"/>
      </w:pPr>
      <w:r>
        <w:t xml:space="preserve">12. Relatório final, manifestação jurídica e decisão</w:t>
      </w:r>
    </w:p>
    <w:p>
      <w:pPr/>
      <w:r>
        <w:t xml:space="preserve">O relatório propõe, a Assessoria Jurídica opina quando a lei exige ou quando há dúvida, e a autoridade decide. A decisão pode adotar os fundamentos do relatório, mas precisa dizer isso expressamente.</w:t>
      </w:r>
    </w:p>
    <w:p>
      <w:pPr>
        <w:pStyle w:val="Heading3"/>
      </w:pPr>
      <w:r>
        <w:t xml:space="preserve">12.1 Relatório final</w:t>
      </w:r>
    </w:p>
    <w:p>
      <w:pPr/>
      <w:r>
        <w:t xml:space="preserve">Quem instruiu e não é competente para decidir elabora relatório com proposta de decisão objetivamente justificada (Lei 3.830, art. 65). Estrutura recomendada:</w:t>
      </w:r>
    </w:p>
    <w:p>
      <w:pPr>
        <w:pStyle w:val="ListParagraph"/>
        <w:numPr>
          <w:ilvl w:val="0"/>
          <w:numId w:val="21"/>
        </w:numPr>
      </w:pPr>
      <w:r>
        <w:t xml:space="preserve">Identificação da empresa, do contrato e do processo.</w:t>
      </w:r>
    </w:p>
    <w:p>
      <w:pPr>
        <w:pStyle w:val="ListParagraph"/>
        <w:numPr>
          <w:ilvl w:val="0"/>
          <w:numId w:val="21"/>
        </w:numPr>
      </w:pPr>
      <w:r>
        <w:t xml:space="preserve">Síntese dos fatos imputados e do ato de instauração.</w:t>
      </w:r>
    </w:p>
    <w:p>
      <w:pPr>
        <w:pStyle w:val="ListParagraph"/>
        <w:numPr>
          <w:ilvl w:val="0"/>
          <w:numId w:val="21"/>
        </w:numPr>
      </w:pPr>
      <w:r>
        <w:t xml:space="preserve">Histórico processual: intimações, prazos, defesa, provas deferidas e indeferidas, alegações finais.</w:t>
      </w:r>
    </w:p>
    <w:p>
      <w:pPr>
        <w:pStyle w:val="ListParagraph"/>
        <w:numPr>
          <w:ilvl w:val="0"/>
          <w:numId w:val="21"/>
        </w:numPr>
      </w:pPr>
      <w:r>
        <w:t xml:space="preserve">Análise de cada argumento da defesa, um a um.</w:t>
      </w:r>
    </w:p>
    <w:p>
      <w:pPr>
        <w:pStyle w:val="ListParagraph"/>
        <w:numPr>
          <w:ilvl w:val="0"/>
          <w:numId w:val="21"/>
        </w:numPr>
      </w:pPr>
      <w:r>
        <w:t xml:space="preserve">Materialidade, autoria, nexo e culpa, com indicação das provas (documento SEI) de cada conclusão.</w:t>
      </w:r>
    </w:p>
    <w:p>
      <w:pPr>
        <w:pStyle w:val="ListParagraph"/>
        <w:numPr>
          <w:ilvl w:val="0"/>
          <w:numId w:val="21"/>
        </w:numPr>
      </w:pPr>
      <w:r>
        <w:t xml:space="preserve">Excludentes examinadas: caso fortuito, força maior, fato da Administração, fato superveniente.</w:t>
      </w:r>
    </w:p>
    <w:p>
      <w:pPr>
        <w:pStyle w:val="ListParagraph"/>
        <w:numPr>
          <w:ilvl w:val="0"/>
          <w:numId w:val="21"/>
        </w:numPr>
      </w:pPr>
      <w:r>
        <w:t xml:space="preserve">Enquadramento final no art. 155 e conclusão: arquivamento ou sanção.</w:t>
      </w:r>
    </w:p>
    <w:p>
      <w:pPr>
        <w:pStyle w:val="ListParagraph"/>
        <w:numPr>
          <w:ilvl w:val="0"/>
          <w:numId w:val="21"/>
        </w:numPr>
      </w:pPr>
      <w:r>
        <w:t xml:space="preserve">Dosimetria completa (seção 7), com valor da multa e prazo da sanção restritiva.</w:t>
      </w:r>
    </w:p>
    <w:p>
      <w:pPr>
        <w:pStyle w:val="ListParagraph"/>
        <w:numPr>
          <w:ilvl w:val="0"/>
          <w:numId w:val="21"/>
        </w:numPr>
      </w:pPr>
      <w:r>
        <w:t xml:space="preserve">Condições de reabilitação, nos casos de impedimento e inidoneidade (art. 163, IV).</w:t>
      </w:r>
    </w:p>
    <w:p>
      <w:pPr>
        <w:pStyle w:val="ListParagraph"/>
        <w:numPr>
          <w:ilvl w:val="0"/>
          <w:numId w:val="21"/>
        </w:numPr>
      </w:pPr>
      <w:r>
        <w:t xml:space="preserve">Providências acessórias: ressarcimento, extinção do contrato, comunicações ao MP, à CGE ou ao CADE.</w:t>
      </w:r>
    </w:p>
    <w:p>
      <w:pPr>
        <w:pStyle w:val="Heading3"/>
      </w:pPr>
      <w:r>
        <w:t xml:space="preserve">12.2 Manifestação jurídica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Situação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Manifestação da Assessoria Jurídica (PGE)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Base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Declaração de inidoneidade</w:t>
            </w:r>
          </w:p>
        </w:tc>
        <w:tc>
          <w:tcPr>
            <w:tcW w:w="3120" w:type="dxa"/>
          </w:tcPr>
          <w:p>
            <w:pPr/>
            <w:r>
              <w:t xml:space="preserve">Obrigatória e prévia</w:t>
            </w:r>
          </w:p>
        </w:tc>
        <w:tc>
          <w:tcPr>
            <w:tcW w:w="3120" w:type="dxa"/>
          </w:tcPr>
          <w:p>
            <w:pPr/>
            <w:r>
              <w:t xml:space="preserve">Lei 14.133, art. 156, § 6º; Dec. 28.874, art. 186, p.ú., II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Desconsideração da personalidade jurídica</w:t>
            </w:r>
          </w:p>
        </w:tc>
        <w:tc>
          <w:tcPr>
            <w:tcW w:w="3120" w:type="dxa"/>
          </w:tcPr>
          <w:p>
            <w:pPr/>
            <w:r>
              <w:t xml:space="preserve">Obrigatória e prévia</w:t>
            </w:r>
          </w:p>
        </w:tc>
        <w:tc>
          <w:tcPr>
            <w:tcW w:w="3120" w:type="dxa"/>
          </w:tcPr>
          <w:p>
            <w:pPr/>
            <w:r>
              <w:t xml:space="preserve">Lei 14.133, art. 160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Reabilitação</w:t>
            </w:r>
          </w:p>
        </w:tc>
        <w:tc>
          <w:tcPr>
            <w:tcW w:w="3120" w:type="dxa"/>
          </w:tcPr>
          <w:p>
            <w:pPr/>
            <w:r>
              <w:t xml:space="preserve">Obrigatória, com posicionamento conclusivo</w:t>
            </w:r>
          </w:p>
        </w:tc>
        <w:tc>
          <w:tcPr>
            <w:tcW w:w="3120" w:type="dxa"/>
          </w:tcPr>
          <w:p>
            <w:pPr/>
            <w:r>
              <w:t xml:space="preserve">Lei 14.133, art. 163, V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Recurso e pedido de reconsideração</w:t>
            </w:r>
          </w:p>
        </w:tc>
        <w:tc>
          <w:tcPr>
            <w:tcW w:w="3120" w:type="dxa"/>
          </w:tcPr>
          <w:p>
            <w:pPr/>
            <w:r>
              <w:t xml:space="preserve">A autoridade é auxiliada pela assessoria jurídica</w:t>
            </w:r>
          </w:p>
        </w:tc>
        <w:tc>
          <w:tcPr>
            <w:tcW w:w="3120" w:type="dxa"/>
          </w:tcPr>
          <w:p>
            <w:pPr/>
            <w:r>
              <w:t xml:space="preserve">Lei 14.133, art. 168, p.ú.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Impedimento, multa acima de 5%, cláusula ambígua, tese de direito intertemporal</w:t>
            </w:r>
          </w:p>
        </w:tc>
        <w:tc>
          <w:tcPr>
            <w:tcW w:w="3120" w:type="dxa"/>
          </w:tcPr>
          <w:p>
            <w:pPr/>
            <w:r>
              <w:t xml:space="preserve">Recomendada</w:t>
            </w:r>
          </w:p>
        </w:tc>
        <w:tc>
          <w:tcPr>
            <w:tcW w:w="3120" w:type="dxa"/>
          </w:tcPr>
          <w:p>
            <w:pPr/>
            <w:r>
              <w:t xml:space="preserve">Boa prática deste manual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Advertência e multa até 5% sem controvérsia jurídica</w:t>
            </w:r>
          </w:p>
        </w:tc>
        <w:tc>
          <w:tcPr>
            <w:tcW w:w="3120" w:type="dxa"/>
          </w:tcPr>
          <w:p>
            <w:pPr/>
            <w:r>
              <w:t xml:space="preserve">Dispensável</w:t>
            </w:r>
          </w:p>
        </w:tc>
        <w:tc>
          <w:tcPr>
            <w:tcW w:w="3120" w:type="dxa"/>
          </w:tcPr>
          <w:p>
            <w:pPr/>
            <w:r>
              <w:t xml:space="preserve">—</w:t>
            </w:r>
          </w:p>
        </w:tc>
      </w:tr>
    </w:tbl>
    <w:p>
      <w:pPr/>
      <w:r>
        <w:t xml:space="preserve">O parecer obrigatório deve ser emitido em até 30 dias, salvo necessidade comprovada de mais prazo (Lei 3.830, art. 60). Na inidoneidade, na desconsideração e na reabilitação, não se decide sem a análise jurídica, mesmo vencido esse prazo.</w:t>
      </w:r>
    </w:p>
    <w:p>
      <w:pPr>
        <w:pStyle w:val="Heading3"/>
      </w:pPr>
      <w:r>
        <w:t xml:space="preserve">12.3 A decisão</w:t>
      </w:r>
    </w:p>
    <w:p>
      <w:pPr/>
      <w:r>
        <w:t xml:space="preserve">A decisão é ato da autoridade competente e deve conter:</w:t>
      </w:r>
    </w:p>
    <w:p>
      <w:pPr>
        <w:pStyle w:val="ListParagraph"/>
        <w:numPr>
          <w:ilvl w:val="0"/>
          <w:numId w:val="22"/>
        </w:numPr>
      </w:pPr>
      <w:r>
        <w:t xml:space="preserve">competência de quem decide (norma ou ato de delegação publicado);</w:t>
      </w:r>
    </w:p>
    <w:p>
      <w:pPr>
        <w:pStyle w:val="ListParagraph"/>
        <w:numPr>
          <w:ilvl w:val="0"/>
          <w:numId w:val="22"/>
        </w:numPr>
      </w:pPr>
      <w:r>
        <w:t xml:space="preserve">síntese dos fatos e do processo;</w:t>
      </w:r>
    </w:p>
    <w:p>
      <w:pPr>
        <w:pStyle w:val="ListParagraph"/>
        <w:numPr>
          <w:ilvl w:val="0"/>
          <w:numId w:val="22"/>
        </w:numPr>
      </w:pPr>
      <w:r>
        <w:t xml:space="preserve">enfrentamento de todos os argumentos da defesa, ou adoção expressa do relatório que os enfrentou (Lei 3.830, art. 12, § 1º);</w:t>
      </w:r>
    </w:p>
    <w:p>
      <w:pPr>
        <w:pStyle w:val="ListParagraph"/>
        <w:numPr>
          <w:ilvl w:val="0"/>
          <w:numId w:val="22"/>
        </w:numPr>
      </w:pPr>
      <w:r>
        <w:t xml:space="preserve">se divergir do relatório ou do parecer, as razões da divergência (Lei 3.830, art. 13, VI);</w:t>
      </w:r>
    </w:p>
    <w:p>
      <w:pPr>
        <w:pStyle w:val="ListParagraph"/>
        <w:numPr>
          <w:ilvl w:val="0"/>
          <w:numId w:val="22"/>
        </w:numPr>
      </w:pPr>
      <w:r>
        <w:t xml:space="preserve">fundamento legal e contratual da sanção e dosimetria por critério;</w:t>
      </w:r>
    </w:p>
    <w:p>
      <w:pPr>
        <w:pStyle w:val="ListParagraph"/>
        <w:numPr>
          <w:ilvl w:val="0"/>
          <w:numId w:val="22"/>
        </w:numPr>
      </w:pPr>
      <w:r>
        <w:t xml:space="preserve">consequências práticas consideradas e alternativas afastadas (LINDB, art. 20);</w:t>
      </w:r>
    </w:p>
    <w:p>
      <w:pPr>
        <w:pStyle w:val="ListParagraph"/>
        <w:numPr>
          <w:ilvl w:val="0"/>
          <w:numId w:val="22"/>
        </w:numPr>
      </w:pPr>
      <w:r>
        <w:t xml:space="preserve">dispositivo claro: sanção, valor, duração, abrangência, regra de início (publicação do extrato após a decisão definitiva) e condições de reabilitação; as datas exatas vão na certidão de definitividade e no extrato;</w:t>
      </w:r>
    </w:p>
    <w:p>
      <w:pPr>
        <w:pStyle w:val="ListParagraph"/>
        <w:numPr>
          <w:ilvl w:val="0"/>
          <w:numId w:val="22"/>
        </w:numPr>
      </w:pPr>
      <w:r>
        <w:t xml:space="preserve">determinação de intimação, com indicação do recurso cabível, prazo, autoridade a quem se dirige e, havendo advogado, o direito de sustentação oral.</w:t>
      </w:r>
    </w:p>
    <w:p>
      <w:pPr/>
      <w:r>
        <w:rPr>
          <w:b/>
        </w:rPr>
        <w:t xml:space="preserve">Prazo para decidir.</w:t>
      </w:r>
      <w:r>
        <w:t xml:space="preserve"> Concluída a instrução, a Administração tem até 30 dias para decidir, prorrogáveis por igual período com motivação (Lei 3.830, art. 67). O descumprimento injustificado de prazos gera responsabilidade do agente e de superiores omissos (art. 83).</w:t>
      </w:r>
    </w:p>
    <w:p>
      <w:pPr/>
      <w:r>
        <w:rPr>
          <w:b/>
        </w:rPr>
        <w:t xml:space="preserve">Publicidade.</w:t>
      </w:r>
      <w:r>
        <w:t xml:space="preserve"> A decisão é comunicada por intimação pessoal. O extrato é publicado no DOE após a decisão definitiva, com dados mínimos: empresa, CNPJ, contrato, sanção, prazo e abrangência, sem dados pessoais de sócios ou empregados (Lei 3.830, art. 21).</w:t>
      </w:r>
    </w:p>
    <w:p>
      <w:pPr>
        <w:pStyle w:val="Heading2"/>
      </w:pPr>
      <w:r>
        <w:t xml:space="preserve">13. Recurso e pedido de reconsideração</w:t>
      </w:r>
    </w:p>
    <w:p>
      <w:pPr/>
      <w:r>
        <w:t xml:space="preserve">Contra advertência, multa e impedimento cabe recurso; contra inidoneidade, apenas pedido de reconsideração. Os dois têm prazo de 15 dias úteis e efeito suspensivo: nada se executa nem se registra antes da decisão final (Lei 14.133, arts. 166 a 168).</w:t>
      </w:r>
    </w:p>
    <w:p>
      <w:pPr>
        <w:pStyle w:val="Heading3"/>
      </w:pPr>
      <w:r>
        <w:t xml:space="preserve">13.1 Quadro dos meios de impugnação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Recurso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Pedido de reconsideração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Cabe contra</w:t>
            </w:r>
          </w:p>
        </w:tc>
        <w:tc>
          <w:tcPr>
            <w:tcW w:w="3120" w:type="dxa"/>
          </w:tcPr>
          <w:p>
            <w:pPr/>
            <w:r>
              <w:t xml:space="preserve">Advertência, multa e impedimento</w:t>
            </w:r>
          </w:p>
        </w:tc>
        <w:tc>
          <w:tcPr>
            <w:tcW w:w="3120" w:type="dxa"/>
          </w:tcPr>
          <w:p>
            <w:pPr/>
            <w:r>
              <w:t xml:space="preserve">Declaração de inidoneidade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Prazo</w:t>
            </w:r>
          </w:p>
        </w:tc>
        <w:tc>
          <w:tcPr>
            <w:tcW w:w="3120" w:type="dxa"/>
          </w:tcPr>
          <w:p>
            <w:pPr/>
            <w:r>
              <w:t xml:space="preserve">15 dias úteis da intimação</w:t>
            </w:r>
          </w:p>
        </w:tc>
        <w:tc>
          <w:tcPr>
            <w:tcW w:w="3120" w:type="dxa"/>
          </w:tcPr>
          <w:p>
            <w:pPr/>
            <w:r>
              <w:t xml:space="preserve">15 dias úteis da intimação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Dirigido a</w:t>
            </w:r>
          </w:p>
        </w:tc>
        <w:tc>
          <w:tcPr>
            <w:tcW w:w="3120" w:type="dxa"/>
          </w:tcPr>
          <w:p>
            <w:pPr/>
            <w:r>
              <w:t xml:space="preserve">Autoridade que decidiu</w:t>
            </w:r>
          </w:p>
        </w:tc>
        <w:tc>
          <w:tcPr>
            <w:tcW w:w="3120" w:type="dxa"/>
          </w:tcPr>
          <w:p>
            <w:pPr/>
            <w:r>
              <w:t xml:space="preserve">Autoridade que decidiu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Juízo de retratação</w:t>
            </w:r>
          </w:p>
        </w:tc>
        <w:tc>
          <w:tcPr>
            <w:tcW w:w="3120" w:type="dxa"/>
          </w:tcPr>
          <w:p>
            <w:pPr/>
            <w:r>
              <w:t xml:space="preserve">5 dias úteis para reconsiderar</w:t>
            </w:r>
          </w:p>
        </w:tc>
        <w:tc>
          <w:tcPr>
            <w:tcW w:w="3120" w:type="dxa"/>
          </w:tcPr>
          <w:p>
            <w:pPr/>
            <w:r>
              <w:t xml:space="preserve">—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Se não reconsiderar</w:t>
            </w:r>
          </w:p>
        </w:tc>
        <w:tc>
          <w:tcPr>
            <w:tcW w:w="3120" w:type="dxa"/>
          </w:tcPr>
          <w:p>
            <w:pPr/>
            <w:r>
              <w:t xml:space="preserve">Encaminha, com motivação, ao Superintendente (decisão da fiscalização ou de delegado) ou à autoridade superior (decisão do Superintendente)</w:t>
            </w:r>
          </w:p>
        </w:tc>
        <w:tc>
          <w:tcPr>
            <w:tcW w:w="3120" w:type="dxa"/>
          </w:tcPr>
          <w:p>
            <w:pPr/>
            <w:r>
              <w:t xml:space="preserve">—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Prazo para decisão final</w:t>
            </w:r>
          </w:p>
        </w:tc>
        <w:tc>
          <w:tcPr>
            <w:tcW w:w="3120" w:type="dxa"/>
          </w:tcPr>
          <w:p>
            <w:pPr/>
            <w:r>
              <w:t xml:space="preserve">20 dias úteis do recebimento dos autos pela autoridade superior</w:t>
            </w:r>
          </w:p>
        </w:tc>
        <w:tc>
          <w:tcPr>
            <w:tcW w:w="3120" w:type="dxa"/>
          </w:tcPr>
          <w:p>
            <w:pPr/>
            <w:r>
              <w:t xml:space="preserve">20 dias úteis do recebimento do pedido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Efeito</w:t>
            </w:r>
          </w:p>
        </w:tc>
        <w:tc>
          <w:tcPr>
            <w:tcW w:w="3120" w:type="dxa"/>
          </w:tcPr>
          <w:p>
            <w:pPr/>
            <w:r>
              <w:t xml:space="preserve">Suspensivo</w:t>
            </w:r>
          </w:p>
        </w:tc>
        <w:tc>
          <w:tcPr>
            <w:tcW w:w="3120" w:type="dxa"/>
          </w:tcPr>
          <w:p>
            <w:pPr/>
            <w:r>
              <w:t xml:space="preserve">Suspensivo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Base</w:t>
            </w:r>
          </w:p>
        </w:tc>
        <w:tc>
          <w:tcPr>
            <w:tcW w:w="3120" w:type="dxa"/>
          </w:tcPr>
          <w:p>
            <w:pPr/>
            <w:r>
              <w:t xml:space="preserve">Art. 166</w:t>
            </w:r>
          </w:p>
        </w:tc>
        <w:tc>
          <w:tcPr>
            <w:tcW w:w="3120" w:type="dxa"/>
          </w:tcPr>
          <w:p>
            <w:pPr/>
            <w:r>
              <w:t xml:space="preserve">Arts. 167 e 168</w:t>
            </w:r>
          </w:p>
        </w:tc>
      </w:tr>
    </w:tbl>
    <w:p>
      <w:pPr>
        <w:pStyle w:val="Heading3"/>
      </w:pPr>
      <w:r>
        <w:t xml:space="preserve">13.2 Admissibilidade</w:t>
      </w:r>
    </w:p>
    <w:p>
      <w:pPr/>
      <w:r>
        <w:t xml:space="preserve">O recurso não é conhecido se intempestivo, interposto por quem não é parte ou perante órgão incompetente; neste último caso, os autos seguem de ofício ao competente (Lei 3.830, art. 73). Recurso com nome errado é conhecido se a impugnação for clara (art. 73, § 1º). Mesmo não conhecido o recurso, a Administração pode anular de ofício ato ilegal (art. 73, § 3º).</w:t>
      </w:r>
    </w:p>
    <w:p>
      <w:pPr>
        <w:pStyle w:val="Heading3"/>
      </w:pPr>
      <w:r>
        <w:t xml:space="preserve">13.3 Regras de julgamento</w:t>
      </w:r>
    </w:p>
    <w:p>
      <w:pPr>
        <w:pStyle w:val="ListParagraph"/>
        <w:numPr>
          <w:ilvl w:val="0"/>
          <w:numId w:val="23"/>
        </w:numPr>
      </w:pPr>
      <w:r>
        <w:rPr>
          <w:b/>
        </w:rPr>
        <w:t xml:space="preserve">Sem agravamento.</w:t>
      </w:r>
      <w:r>
        <w:t xml:space="preserve"> O recurso não pode piorar a situação do recorrente, salvo má-fé comprovada (Lei 3.830, art. 79). Corrigir ilegalidade favorável à empresa exige processo próprio de anulação, com contraditório e dentro do prazo decadencial (arts. 14 e 15).</w:t>
      </w:r>
    </w:p>
    <w:p>
      <w:pPr>
        <w:pStyle w:val="ListParagraph"/>
        <w:numPr>
          <w:ilvl w:val="0"/>
          <w:numId w:val="23"/>
        </w:numPr>
      </w:pPr>
      <w:r>
        <w:rPr>
          <w:b/>
        </w:rPr>
        <w:t xml:space="preserve">Indelegável.</w:t>
      </w:r>
      <w:r>
        <w:t xml:space="preserve"> A decisão de recurso não pode ser delegada (Lei 3.830, art. 25, II).</w:t>
      </w:r>
    </w:p>
    <w:p>
      <w:pPr>
        <w:pStyle w:val="ListParagraph"/>
        <w:numPr>
          <w:ilvl w:val="0"/>
          <w:numId w:val="23"/>
        </w:numPr>
      </w:pPr>
      <w:r>
        <w:rPr>
          <w:b/>
        </w:rPr>
        <w:t xml:space="preserve">Apoio jurídico.</w:t>
      </w:r>
      <w:r>
        <w:t xml:space="preserve"> A autoridade é auxiliada pela Assessoria Jurídica (Lei 14.133, art. 168, p.ú.).</w:t>
      </w:r>
    </w:p>
    <w:p>
      <w:pPr>
        <w:pStyle w:val="ListParagraph"/>
        <w:numPr>
          <w:ilvl w:val="0"/>
          <w:numId w:val="23"/>
        </w:numPr>
      </w:pPr>
      <w:r>
        <w:rPr>
          <w:b/>
        </w:rPr>
        <w:t xml:space="preserve">Sustentação oral.</w:t>
      </w:r>
      <w:r>
        <w:t xml:space="preserve"> Havendo advogado constituído, a intimação da decisão informa o direito de sustentar oralmente, por no mínimo 15 minutos, perante a autoridade que julgará o recurso (Lei 3.830, art. 36-I, incluído pela Lei nº 5.753/2024 e mantido após rejeição do veto). Se houver pedido, designe data com antecedência mínima de 3 dias úteis, admita videoconferência e lavre ata. Aplique o mesmo ao pedido de reconsideração. A omissão gera nulidade absoluta.</w:t>
      </w:r>
    </w:p>
    <w:p>
      <w:pPr>
        <w:pStyle w:val="ListParagraph"/>
        <w:numPr>
          <w:ilvl w:val="0"/>
          <w:numId w:val="23"/>
        </w:numPr>
      </w:pPr>
      <w:r>
        <w:rPr>
          <w:b/>
        </w:rPr>
        <w:t xml:space="preserve">Contrarrazões de terceiros.</w:t>
      </w:r>
      <w:r>
        <w:t xml:space="preserve"> Havendo outros interessados, intime-os para manifestação em 10 dias (Lei 3.830, art. 76).</w:t>
      </w:r>
    </w:p>
    <w:p>
      <w:pPr>
        <w:pStyle w:val="Heading3"/>
      </w:pPr>
      <w:r>
        <w:t xml:space="preserve">13.4 Após a decisão final</w:t>
      </w:r>
    </w:p>
    <w:p>
      <w:pPr/>
      <w:r>
        <w:t xml:space="preserve">Esgotados os recursos ou decorrido o prazo sem interposição, lavre </w:t>
      </w:r>
      <w:r>
        <w:rPr>
          <w:b/>
        </w:rPr>
        <w:t xml:space="preserve">certidão de definitividade</w:t>
      </w:r>
      <w:r>
        <w:t xml:space="preserve"> com a data. Ela é o marco para execução da multa, publicação do extrato e envio à CGE para registro (seção 15).</w:t>
      </w:r>
    </w:p>
    <w:p>
      <w:pPr/>
      <w:r>
        <w:rPr>
          <w:b/>
        </w:rPr>
        <w:t xml:space="preserve">Revisão.</w:t>
      </w:r>
      <w:r>
        <w:t xml:space="preserve"> A qualquer tempo, de ofício ou a pedido, o processo pode ser revisto se surgirem fatos novos que mostrem a inadequação da sanção, sem possibilidade de agravamento (Lei 3.830, art. 82).</w:t>
      </w:r>
    </w:p>
    <w:p>
      <w:pPr/>
      <w:r>
        <w:rPr>
          <w:b/>
        </w:rPr>
        <w:t xml:space="preserve">Recurso contra decisão do Superintendente.</w:t>
      </w:r>
      <w:r>
        <w:t xml:space="preserve"> Sobe à autoridade superior (Lei 14.133, art. 166, parágrafo único; seção 3.2). Enquanto não houver ato dessa autoridade sobre o fluxo, a SUGESP encaminha os autos instruídos, com minuta e parecer, logo após o juízo de retratação.</w:t>
      </w:r>
    </w:p>
    <w:p>
      <w:pPr>
        <w:pStyle w:val="Heading2"/>
      </w:pPr>
      <w:r>
        <w:t xml:space="preserve">14. Prescrição e quadro geral de prazos</w:t>
      </w:r>
    </w:p>
    <w:p>
      <w:pPr/>
      <w:r>
        <w:t xml:space="preserve">A pretensão de punir prescreve em 5 anos, contados da ciência da infração pela Administração (Lei 14.133, art. 158, § 4º). Prescrita a pretensão, não há sanção possível, e quem deu causa à demora pode responder por ela.</w:t>
      </w:r>
    </w:p>
    <w:p>
      <w:pPr>
        <w:pStyle w:val="Heading3"/>
      </w:pPr>
      <w:r>
        <w:t xml:space="preserve">14.1 Como a prescrição corre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Evento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Efeito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Base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Ciência da infração pela Administração</w:t>
            </w:r>
          </w:p>
        </w:tc>
        <w:tc>
          <w:tcPr>
            <w:tcW w:w="3120" w:type="dxa"/>
          </w:tcPr>
          <w:p>
            <w:pPr/>
            <w:r>
              <w:t xml:space="preserve">Início do prazo de 5 anos</w:t>
            </w:r>
          </w:p>
        </w:tc>
        <w:tc>
          <w:tcPr>
            <w:tcW w:w="3120" w:type="dxa"/>
          </w:tcPr>
          <w:p>
            <w:pPr/>
            <w:r>
              <w:t xml:space="preserve">Art. 158, § 4º, caput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Instauração do processo de responsabilização (comissão)</w:t>
            </w:r>
          </w:p>
        </w:tc>
        <w:tc>
          <w:tcPr>
            <w:tcW w:w="3120" w:type="dxa"/>
          </w:tcPr>
          <w:p>
            <w:pPr/>
            <w:r>
              <w:t xml:space="preserve">Interrupção: o prazo recomeça do zero</w:t>
            </w:r>
          </w:p>
        </w:tc>
        <w:tc>
          <w:tcPr>
            <w:tcW w:w="3120" w:type="dxa"/>
          </w:tcPr>
          <w:p>
            <w:pPr/>
            <w:r>
              <w:t xml:space="preserve">Art. 158, § 4º, I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Acordo de leniência da Lei 12.846</w:t>
            </w:r>
          </w:p>
        </w:tc>
        <w:tc>
          <w:tcPr>
            <w:tcW w:w="3120" w:type="dxa"/>
          </w:tcPr>
          <w:p>
            <w:pPr/>
            <w:r>
              <w:t xml:space="preserve">Suspensão: o prazo para e depois retoma</w:t>
            </w:r>
          </w:p>
        </w:tc>
        <w:tc>
          <w:tcPr>
            <w:tcW w:w="3120" w:type="dxa"/>
          </w:tcPr>
          <w:p>
            <w:pPr/>
            <w:r>
              <w:t xml:space="preserve">Art. 158, § 4º, II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Decisão judicial que impeça a apuração</w:t>
            </w:r>
          </w:p>
        </w:tc>
        <w:tc>
          <w:tcPr>
            <w:tcW w:w="3120" w:type="dxa"/>
          </w:tcPr>
          <w:p>
            <w:pPr/>
            <w:r>
              <w:t xml:space="preserve">Suspensão enquanto durar</w:t>
            </w:r>
          </w:p>
        </w:tc>
        <w:tc>
          <w:tcPr>
            <w:tcW w:w="3120" w:type="dxa"/>
          </w:tcPr>
          <w:p>
            <w:pPr/>
            <w:r>
              <w:t xml:space="preserve">Art. 158, § 4º, III</w:t>
            </w:r>
          </w:p>
        </w:tc>
      </w:tr>
    </w:tbl>
    <w:p>
      <w:pPr>
        <w:pStyle w:val="Heading3"/>
      </w:pPr>
      <w:r>
        <w:t xml:space="preserve">14.2 Três cautelas</w:t>
      </w:r>
    </w:p>
    <w:p>
      <w:pPr>
        <w:pStyle w:val="ListParagraph"/>
        <w:numPr>
          <w:ilvl w:val="0"/>
          <w:numId w:val="24"/>
        </w:numPr>
      </w:pPr>
      <w:r>
        <w:rPr>
          <w:b/>
        </w:rPr>
        <w:t xml:space="preserve">Conte da ciência do fiscal.</w:t>
      </w:r>
      <w:r>
        <w:t xml:space="preserve"> A lei fala em ciência "pela Administração". Por segurança, use como termo inicial o primeiro registro do fato por qualquer agente com dever de comunicá-lo, e não a data em que o processo chegou à autoridade.</w:t>
      </w:r>
    </w:p>
    <w:p>
      <w:pPr>
        <w:pStyle w:val="ListParagraph"/>
        <w:numPr>
          <w:ilvl w:val="0"/>
          <w:numId w:val="24"/>
        </w:numPr>
      </w:pPr>
      <w:r>
        <w:rPr>
          <w:b/>
        </w:rPr>
        <w:t xml:space="preserve">Rito simplificado não conte com interrupção.</w:t>
      </w:r>
      <w:r>
        <w:t xml:space="preserve"> O inciso I do § 4º remete ao processo do caput do art. 158, que é o de impedimento e inidoneidade. Se a interrupção alcança os processos de advertência e multa é ponto controvertido. Conclua esses processos dentro dos 5 anos contados da ciência; se faltar menos de um ano, prefira a comissão.</w:t>
      </w:r>
    </w:p>
    <w:p>
      <w:pPr>
        <w:pStyle w:val="ListParagraph"/>
        <w:numPr>
          <w:ilvl w:val="0"/>
          <w:numId w:val="24"/>
        </w:numPr>
      </w:pPr>
      <w:r>
        <w:rPr>
          <w:b/>
        </w:rPr>
        <w:t xml:space="preserve">Evite paralisação.</w:t>
      </w:r>
      <w:r>
        <w:t xml:space="preserve"> A Lei 14.133 não fixa prescrição intercorrente, mas a paralisação injustificada viola a razoável duração do processo e gera responsabilidade (Lei 3.830, art. 83). Registre o motivo de qualquer sobrestamento.</w:t>
      </w:r>
    </w:p>
    <w:p>
      <w:pPr>
        <w:pStyle w:val="Heading3"/>
      </w:pPr>
      <w:r>
        <w:t xml:space="preserve">14.3 Quadro geral de prazos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  <w:shd w:val="clear" w:color="auto" w:fill="F2F2F2"/>
          </w:tcPr>
          <w:p>
            <w:pPr/>
            <w:r>
              <w:t xml:space="preserve">Ato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Prazo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Quem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Base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Registro da ocorrência após a ciência</w:t>
            </w:r>
          </w:p>
        </w:tc>
        <w:tc>
          <w:tcPr>
            <w:tcW w:w="2340" w:type="dxa"/>
          </w:tcPr>
          <w:p>
            <w:pPr/>
            <w:r>
              <w:t xml:space="preserve">Até 5 dias úteis (recomendado)</w:t>
            </w:r>
          </w:p>
        </w:tc>
        <w:tc>
          <w:tcPr>
            <w:tcW w:w="2340" w:type="dxa"/>
          </w:tcPr>
          <w:p>
            <w:pPr/>
            <w:r>
              <w:t xml:space="preserve">Fiscal ou agente de contratação</w:t>
            </w:r>
          </w:p>
        </w:tc>
        <w:tc>
          <w:tcPr>
            <w:tcW w:w="2340" w:type="dxa"/>
          </w:tcPr>
          <w:p>
            <w:pPr/>
            <w:r>
              <w:t xml:space="preserve">Manual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Dossiê e minuta do ato de abertura</w:t>
            </w:r>
          </w:p>
        </w:tc>
        <w:tc>
          <w:tcPr>
            <w:tcW w:w="2340" w:type="dxa"/>
          </w:tcPr>
          <w:p>
            <w:pPr/>
            <w:r>
              <w:t xml:space="preserve">Até 10 dias úteis (recomendado)</w:t>
            </w:r>
          </w:p>
        </w:tc>
        <w:tc>
          <w:tcPr>
            <w:tcW w:w="2340" w:type="dxa"/>
          </w:tcPr>
          <w:p>
            <w:pPr/>
            <w:r>
              <w:t xml:space="preserve">GCONV e gestor</w:t>
            </w:r>
          </w:p>
        </w:tc>
        <w:tc>
          <w:tcPr>
            <w:tcW w:w="2340" w:type="dxa"/>
          </w:tcPr>
          <w:p>
            <w:pPr/>
            <w:r>
              <w:t xml:space="preserve">Manual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Notificação ao emissor da garantia</w:t>
            </w:r>
          </w:p>
        </w:tc>
        <w:tc>
          <w:tcPr>
            <w:tcW w:w="2340" w:type="dxa"/>
          </w:tcPr>
          <w:p>
            <w:pPr/>
            <w:r>
              <w:t xml:space="preserve">No mesmo dia da abertura</w:t>
            </w:r>
          </w:p>
        </w:tc>
        <w:tc>
          <w:tcPr>
            <w:tcW w:w="2340" w:type="dxa"/>
          </w:tcPr>
          <w:p>
            <w:pPr/>
            <w:r>
              <w:t xml:space="preserve">GCONV</w:t>
            </w:r>
          </w:p>
        </w:tc>
        <w:tc>
          <w:tcPr>
            <w:tcW w:w="2340" w:type="dxa"/>
          </w:tcPr>
          <w:p>
            <w:pPr/>
            <w:r>
              <w:t xml:space="preserve">Lei 14.133, art. 137, § 4º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Publicação do extrato da portaria (comissão)</w:t>
            </w:r>
          </w:p>
        </w:tc>
        <w:tc>
          <w:tcPr>
            <w:tcW w:w="2340" w:type="dxa"/>
          </w:tcPr>
          <w:p>
            <w:pPr/>
            <w:r>
              <w:t xml:space="preserve">Até 2 dias úteis da assinatura</w:t>
            </w:r>
          </w:p>
        </w:tc>
        <w:tc>
          <w:tcPr>
            <w:tcW w:w="2340" w:type="dxa"/>
          </w:tcPr>
          <w:p>
            <w:pPr/>
            <w:r>
              <w:t xml:space="preserve">GCONV</w:t>
            </w:r>
          </w:p>
        </w:tc>
        <w:tc>
          <w:tcPr>
            <w:tcW w:w="2340" w:type="dxa"/>
          </w:tcPr>
          <w:p>
            <w:pPr/>
            <w:r>
              <w:t xml:space="preserve">Lei 3.830, art. 20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Defesa escrita (advertência ou multa)</w:t>
            </w:r>
          </w:p>
        </w:tc>
        <w:tc>
          <w:tcPr>
            <w:tcW w:w="2340" w:type="dxa"/>
          </w:tcPr>
          <w:p>
            <w:pPr/>
            <w:r>
              <w:t xml:space="preserve">15 dias úteis</w:t>
            </w:r>
          </w:p>
        </w:tc>
        <w:tc>
          <w:tcPr>
            <w:tcW w:w="2340" w:type="dxa"/>
          </w:tcPr>
          <w:p>
            <w:pPr/>
            <w:r>
              <w:t xml:space="preserve">Empresa</w:t>
            </w:r>
          </w:p>
        </w:tc>
        <w:tc>
          <w:tcPr>
            <w:tcW w:w="2340" w:type="dxa"/>
          </w:tcPr>
          <w:p>
            <w:pPr/>
            <w:r>
              <w:t xml:space="preserve">Lei 14.133, art. 157 (advertência por analogia)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Defesa e especificação de provas (impedimento ou inidoneidade)</w:t>
            </w:r>
          </w:p>
        </w:tc>
        <w:tc>
          <w:tcPr>
            <w:tcW w:w="2340" w:type="dxa"/>
          </w:tcPr>
          <w:p>
            <w:pPr/>
            <w:r>
              <w:t xml:space="preserve">15 dias úteis</w:t>
            </w:r>
          </w:p>
        </w:tc>
        <w:tc>
          <w:tcPr>
            <w:tcW w:w="2340" w:type="dxa"/>
          </w:tcPr>
          <w:p>
            <w:pPr/>
            <w:r>
              <w:t xml:space="preserve">Empresa</w:t>
            </w:r>
          </w:p>
        </w:tc>
        <w:tc>
          <w:tcPr>
            <w:tcW w:w="2340" w:type="dxa"/>
          </w:tcPr>
          <w:p>
            <w:pPr/>
            <w:r>
              <w:t xml:space="preserve">Lei 14.133, art. 158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Antecedência de intimação para prova ou diligência</w:t>
            </w:r>
          </w:p>
        </w:tc>
        <w:tc>
          <w:tcPr>
            <w:tcW w:w="2340" w:type="dxa"/>
          </w:tcPr>
          <w:p>
            <w:pPr/>
            <w:r>
              <w:t xml:space="preserve">Mínimo de 3 dias úteis</w:t>
            </w:r>
          </w:p>
        </w:tc>
        <w:tc>
          <w:tcPr>
            <w:tcW w:w="2340" w:type="dxa"/>
          </w:tcPr>
          <w:p>
            <w:pPr/>
            <w:r>
              <w:t xml:space="preserve">Condutor</w:t>
            </w:r>
          </w:p>
        </w:tc>
        <w:tc>
          <w:tcPr>
            <w:tcW w:w="2340" w:type="dxa"/>
          </w:tcPr>
          <w:p>
            <w:pPr/>
            <w:r>
              <w:t xml:space="preserve">Lei 3.830, art. 59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Manifestação final (rito simplificado)</w:t>
            </w:r>
          </w:p>
        </w:tc>
        <w:tc>
          <w:tcPr>
            <w:tcW w:w="2340" w:type="dxa"/>
          </w:tcPr>
          <w:p>
            <w:pPr/>
            <w:r>
              <w:t xml:space="preserve">10 dias úteis</w:t>
            </w:r>
          </w:p>
        </w:tc>
        <w:tc>
          <w:tcPr>
            <w:tcW w:w="2340" w:type="dxa"/>
          </w:tcPr>
          <w:p>
            <w:pPr/>
            <w:r>
              <w:t xml:space="preserve">Empresa</w:t>
            </w:r>
          </w:p>
        </w:tc>
        <w:tc>
          <w:tcPr>
            <w:tcW w:w="2340" w:type="dxa"/>
          </w:tcPr>
          <w:p>
            <w:pPr/>
            <w:r>
              <w:t xml:space="preserve">Lei 3.830, arts. 62 e 84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Alegações finais (comissão)</w:t>
            </w:r>
          </w:p>
        </w:tc>
        <w:tc>
          <w:tcPr>
            <w:tcW w:w="2340" w:type="dxa"/>
          </w:tcPr>
          <w:p>
            <w:pPr/>
            <w:r>
              <w:t xml:space="preserve">15 dias úteis</w:t>
            </w:r>
          </w:p>
        </w:tc>
        <w:tc>
          <w:tcPr>
            <w:tcW w:w="2340" w:type="dxa"/>
          </w:tcPr>
          <w:p>
            <w:pPr/>
            <w:r>
              <w:t xml:space="preserve">Empresa</w:t>
            </w:r>
          </w:p>
        </w:tc>
        <w:tc>
          <w:tcPr>
            <w:tcW w:w="2340" w:type="dxa"/>
          </w:tcPr>
          <w:p>
            <w:pPr/>
            <w:r>
              <w:t xml:space="preserve">Lei 14.133, art. 158, § 2º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Conclusão do processo</w:t>
            </w:r>
          </w:p>
        </w:tc>
        <w:tc>
          <w:tcPr>
            <w:tcW w:w="2340" w:type="dxa"/>
          </w:tcPr>
          <w:p>
            <w:pPr/>
            <w:r>
              <w:t xml:space="preserve">90 dias corridos (simplificado), 120 (comissão) ou 150 (inidoneidade), prorrogáveis</w:t>
            </w:r>
          </w:p>
        </w:tc>
        <w:tc>
          <w:tcPr>
            <w:tcW w:w="2340" w:type="dxa"/>
          </w:tcPr>
          <w:p>
            <w:pPr/>
            <w:r>
              <w:t xml:space="preserve">Condutor ou comissão</w:t>
            </w:r>
          </w:p>
        </w:tc>
        <w:tc>
          <w:tcPr>
            <w:tcW w:w="2340" w:type="dxa"/>
          </w:tcPr>
          <w:p>
            <w:pPr/>
            <w:r>
              <w:t xml:space="preserve">Manual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Parecer jurídico obrigatório</w:t>
            </w:r>
          </w:p>
        </w:tc>
        <w:tc>
          <w:tcPr>
            <w:tcW w:w="2340" w:type="dxa"/>
          </w:tcPr>
          <w:p>
            <w:pPr/>
            <w:r>
              <w:t xml:space="preserve">Até 30 dias</w:t>
            </w:r>
          </w:p>
        </w:tc>
        <w:tc>
          <w:tcPr>
            <w:tcW w:w="2340" w:type="dxa"/>
          </w:tcPr>
          <w:p>
            <w:pPr/>
            <w:r>
              <w:t xml:space="preserve">Assessoria Jurídica</w:t>
            </w:r>
          </w:p>
        </w:tc>
        <w:tc>
          <w:tcPr>
            <w:tcW w:w="2340" w:type="dxa"/>
          </w:tcPr>
          <w:p>
            <w:pPr/>
            <w:r>
              <w:t xml:space="preserve">Lei 3.830, art. 60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Decisão após a instrução</w:t>
            </w:r>
          </w:p>
        </w:tc>
        <w:tc>
          <w:tcPr>
            <w:tcW w:w="2340" w:type="dxa"/>
          </w:tcPr>
          <w:p>
            <w:pPr/>
            <w:r>
              <w:t xml:space="preserve">Até 30 dias, prorrogável por igual período</w:t>
            </w:r>
          </w:p>
        </w:tc>
        <w:tc>
          <w:tcPr>
            <w:tcW w:w="2340" w:type="dxa"/>
          </w:tcPr>
          <w:p>
            <w:pPr/>
            <w:r>
              <w:t xml:space="preserve">Autoridade</w:t>
            </w:r>
          </w:p>
        </w:tc>
        <w:tc>
          <w:tcPr>
            <w:tcW w:w="2340" w:type="dxa"/>
          </w:tcPr>
          <w:p>
            <w:pPr/>
            <w:r>
              <w:t xml:space="preserve">Lei 3.830, art. 67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Recurso ou pedido de reconsideração</w:t>
            </w:r>
          </w:p>
        </w:tc>
        <w:tc>
          <w:tcPr>
            <w:tcW w:w="2340" w:type="dxa"/>
          </w:tcPr>
          <w:p>
            <w:pPr/>
            <w:r>
              <w:t xml:space="preserve">15 dias úteis da intimação</w:t>
            </w:r>
          </w:p>
        </w:tc>
        <w:tc>
          <w:tcPr>
            <w:tcW w:w="2340" w:type="dxa"/>
          </w:tcPr>
          <w:p>
            <w:pPr/>
            <w:r>
              <w:t xml:space="preserve">Empresa</w:t>
            </w:r>
          </w:p>
        </w:tc>
        <w:tc>
          <w:tcPr>
            <w:tcW w:w="2340" w:type="dxa"/>
          </w:tcPr>
          <w:p>
            <w:pPr/>
            <w:r>
              <w:t xml:space="preserve">Lei 14.133, arts. 166 e 167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Recurso contra extinção unilateral</w:t>
            </w:r>
          </w:p>
        </w:tc>
        <w:tc>
          <w:tcPr>
            <w:tcW w:w="2340" w:type="dxa"/>
          </w:tcPr>
          <w:p>
            <w:pPr/>
            <w:r>
              <w:t xml:space="preserve">3 dias úteis da intimação</w:t>
            </w:r>
          </w:p>
        </w:tc>
        <w:tc>
          <w:tcPr>
            <w:tcW w:w="2340" w:type="dxa"/>
          </w:tcPr>
          <w:p>
            <w:pPr/>
            <w:r>
              <w:t xml:space="preserve">Empresa</w:t>
            </w:r>
          </w:p>
        </w:tc>
        <w:tc>
          <w:tcPr>
            <w:tcW w:w="2340" w:type="dxa"/>
          </w:tcPr>
          <w:p>
            <w:pPr/>
            <w:r>
              <w:t xml:space="preserve">Lei 14.133, art. 165, I, "e"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Contrarrazões de outros interessados</w:t>
            </w:r>
          </w:p>
        </w:tc>
        <w:tc>
          <w:tcPr>
            <w:tcW w:w="2340" w:type="dxa"/>
          </w:tcPr>
          <w:p>
            <w:pPr/>
            <w:r>
              <w:t xml:space="preserve">10 dias</w:t>
            </w:r>
          </w:p>
        </w:tc>
        <w:tc>
          <w:tcPr>
            <w:tcW w:w="2340" w:type="dxa"/>
          </w:tcPr>
          <w:p>
            <w:pPr/>
            <w:r>
              <w:t xml:space="preserve">Interessados</w:t>
            </w:r>
          </w:p>
        </w:tc>
        <w:tc>
          <w:tcPr>
            <w:tcW w:w="2340" w:type="dxa"/>
          </w:tcPr>
          <w:p>
            <w:pPr/>
            <w:r>
              <w:t xml:space="preserve">Lei 3.830, art. 76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Juízo de reconsideração do recurso</w:t>
            </w:r>
          </w:p>
        </w:tc>
        <w:tc>
          <w:tcPr>
            <w:tcW w:w="2340" w:type="dxa"/>
          </w:tcPr>
          <w:p>
            <w:pPr/>
            <w:r>
              <w:t xml:space="preserve">5 dias úteis</w:t>
            </w:r>
          </w:p>
        </w:tc>
        <w:tc>
          <w:tcPr>
            <w:tcW w:w="2340" w:type="dxa"/>
          </w:tcPr>
          <w:p>
            <w:pPr/>
            <w:r>
              <w:t xml:space="preserve">Autoridade que decidiu</w:t>
            </w:r>
          </w:p>
        </w:tc>
        <w:tc>
          <w:tcPr>
            <w:tcW w:w="2340" w:type="dxa"/>
          </w:tcPr>
          <w:p>
            <w:pPr/>
            <w:r>
              <w:t xml:space="preserve">Lei 14.133, art. 166, p.ú.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Designação de sustentação oral</w:t>
            </w:r>
          </w:p>
        </w:tc>
        <w:tc>
          <w:tcPr>
            <w:tcW w:w="2340" w:type="dxa"/>
          </w:tcPr>
          <w:p>
            <w:pPr/>
            <w:r>
              <w:t xml:space="preserve">Antecedência mínima de 3 dias úteis</w:t>
            </w:r>
          </w:p>
        </w:tc>
        <w:tc>
          <w:tcPr>
            <w:tcW w:w="2340" w:type="dxa"/>
          </w:tcPr>
          <w:p>
            <w:pPr/>
            <w:r>
              <w:t xml:space="preserve">Autoridade julgadora</w:t>
            </w:r>
          </w:p>
        </w:tc>
        <w:tc>
          <w:tcPr>
            <w:tcW w:w="2340" w:type="dxa"/>
          </w:tcPr>
          <w:p>
            <w:pPr/>
            <w:r>
              <w:t xml:space="preserve">Lei 3.830, art. 36-I (antecedência: critério deste manual)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Decisão do recurso ou da reconsideração</w:t>
            </w:r>
          </w:p>
        </w:tc>
        <w:tc>
          <w:tcPr>
            <w:tcW w:w="2340" w:type="dxa"/>
          </w:tcPr>
          <w:p>
            <w:pPr/>
            <w:r>
              <w:t xml:space="preserve">20 dias úteis</w:t>
            </w:r>
          </w:p>
        </w:tc>
        <w:tc>
          <w:tcPr>
            <w:tcW w:w="2340" w:type="dxa"/>
          </w:tcPr>
          <w:p>
            <w:pPr/>
            <w:r>
              <w:t xml:space="preserve">Autoridade superior ou a que decidiu</w:t>
            </w:r>
          </w:p>
        </w:tc>
        <w:tc>
          <w:tcPr>
            <w:tcW w:w="2340" w:type="dxa"/>
          </w:tcPr>
          <w:p>
            <w:pPr/>
            <w:r>
              <w:t xml:space="preserve">Lei 14.133, arts. 166, p.ú., e 167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Registro no Ceis/Cnep</w:t>
            </w:r>
          </w:p>
        </w:tc>
        <w:tc>
          <w:tcPr>
            <w:tcW w:w="2340" w:type="dxa"/>
          </w:tcPr>
          <w:p>
            <w:pPr/>
            <w:r>
              <w:t xml:space="preserve">15 dias úteis</w:t>
            </w:r>
          </w:p>
        </w:tc>
        <w:tc>
          <w:tcPr>
            <w:tcW w:w="2340" w:type="dxa"/>
          </w:tcPr>
          <w:p>
            <w:pPr/>
            <w:r>
              <w:t xml:space="preserve">GCONV, via CGE</w:t>
            </w:r>
          </w:p>
        </w:tc>
        <w:tc>
          <w:tcPr>
            <w:tcW w:w="2340" w:type="dxa"/>
          </w:tcPr>
          <w:p>
            <w:pPr/>
            <w:r>
              <w:t xml:space="preserve">Lei 14.133, art. 161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Prescrição da pretensão punitiva</w:t>
            </w:r>
          </w:p>
        </w:tc>
        <w:tc>
          <w:tcPr>
            <w:tcW w:w="2340" w:type="dxa"/>
          </w:tcPr>
          <w:p>
            <w:pPr/>
            <w:r>
              <w:t xml:space="preserve">5 anos da ciência</w:t>
            </w:r>
          </w:p>
        </w:tc>
        <w:tc>
          <w:tcPr>
            <w:tcW w:w="2340" w:type="dxa"/>
          </w:tcPr>
          <w:p>
            <w:pPr/>
            <w:r>
              <w:t xml:space="preserve">—</w:t>
            </w:r>
          </w:p>
        </w:tc>
        <w:tc>
          <w:tcPr>
            <w:tcW w:w="2340" w:type="dxa"/>
          </w:tcPr>
          <w:p>
            <w:pPr/>
            <w:r>
              <w:t xml:space="preserve">Lei 14.133, art. 158, § 4º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Reabilitação</w:t>
            </w:r>
          </w:p>
        </w:tc>
        <w:tc>
          <w:tcPr>
            <w:tcW w:w="2340" w:type="dxa"/>
          </w:tcPr>
          <w:p>
            <w:pPr/>
            <w:r>
              <w:t xml:space="preserve">1 ano (impedimento) ou 3 anos (inidoneidade) da decisão definitiva</w:t>
            </w:r>
          </w:p>
        </w:tc>
        <w:tc>
          <w:tcPr>
            <w:tcW w:w="2340" w:type="dxa"/>
          </w:tcPr>
          <w:p>
            <w:pPr/>
            <w:r>
              <w:t xml:space="preserve">Empresa requer</w:t>
            </w:r>
          </w:p>
        </w:tc>
        <w:tc>
          <w:tcPr>
            <w:tcW w:w="2340" w:type="dxa"/>
          </w:tcPr>
          <w:p>
            <w:pPr/>
            <w:r>
              <w:t xml:space="preserve">Lei 14.133, art. 163, III</w:t>
            </w:r>
          </w:p>
        </w:tc>
      </w:tr>
    </w:tbl>
    <w:p>
      <w:pPr>
        <w:pStyle w:val="Heading2"/>
      </w:pPr>
      <w:r>
        <w:t xml:space="preserve">15. Publicidade, registro em cadastros e cobrança da multa</w:t>
      </w:r>
    </w:p>
    <w:p>
      <w:pPr/>
      <w:r>
        <w:t xml:space="preserve">Sanção que não chega aos cadastros não protege a Administração: a empresa impedida volta a licitar em outro órgão do Estado. Tornada definitiva a decisão, a GCONV dispara três frentes: registro, publicação e cobrança.</w:t>
      </w:r>
    </w:p>
    <w:p>
      <w:pPr>
        <w:pStyle w:val="Heading3"/>
      </w:pPr>
      <w:r>
        <w:t xml:space="preserve">15.1 Onde registrar cada sanção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  <w:shd w:val="clear" w:color="auto" w:fill="F2F2F2"/>
          </w:tcPr>
          <w:p>
            <w:pPr/>
            <w:r>
              <w:t xml:space="preserve">Sanção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Extrato no DOE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CGE (Ceis e cadastro estadual)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Avaliação de desempenho e histórico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Base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Advertência</w:t>
            </w:r>
          </w:p>
        </w:tc>
        <w:tc>
          <w:tcPr>
            <w:tcW w:w="1872" w:type="dxa"/>
          </w:tcPr>
          <w:p>
            <w:pPr/>
            <w:r>
              <w:t xml:space="preserve">Não</w:t>
            </w:r>
          </w:p>
        </w:tc>
        <w:tc>
          <w:tcPr>
            <w:tcW w:w="1872" w:type="dxa"/>
          </w:tcPr>
          <w:p>
            <w:pPr/>
            <w:r>
              <w:t xml:space="preserve">Informar, até a CGE definir se registra</w:t>
            </w:r>
          </w:p>
        </w:tc>
        <w:tc>
          <w:tcPr>
            <w:tcW w:w="1872" w:type="dxa"/>
          </w:tcPr>
          <w:p>
            <w:pPr/>
            <w:r>
              <w:t xml:space="preserve">Sim</w:t>
            </w:r>
          </w:p>
        </w:tc>
        <w:tc>
          <w:tcPr>
            <w:tcW w:w="1872" w:type="dxa"/>
          </w:tcPr>
          <w:p>
            <w:pPr/>
            <w:r>
              <w:t xml:space="preserve">Lei 14.133, arts. 88, § 3º, e 161; Portaria Normativa CGU nº 75/2023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Multa</w:t>
            </w:r>
          </w:p>
        </w:tc>
        <w:tc>
          <w:tcPr>
            <w:tcW w:w="1872" w:type="dxa"/>
          </w:tcPr>
          <w:p>
            <w:pPr/>
            <w:r>
              <w:t xml:space="preserve">Não</w:t>
            </w:r>
          </w:p>
        </w:tc>
        <w:tc>
          <w:tcPr>
            <w:tcW w:w="1872" w:type="dxa"/>
          </w:tcPr>
          <w:p>
            <w:pPr/>
            <w:r>
              <w:t xml:space="preserve">Informar, até a CGE definir se registra</w:t>
            </w:r>
          </w:p>
        </w:tc>
        <w:tc>
          <w:tcPr>
            <w:tcW w:w="1872" w:type="dxa"/>
          </w:tcPr>
          <w:p>
            <w:pPr/>
            <w:r>
              <w:t xml:space="preserve">Sim</w:t>
            </w:r>
          </w:p>
        </w:tc>
        <w:tc>
          <w:tcPr>
            <w:tcW w:w="1872" w:type="dxa"/>
          </w:tcPr>
          <w:p>
            <w:pPr/>
            <w:r>
              <w:t xml:space="preserve">Lei 14.133, arts. 88, § 3º, e 161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Impedimento e inidoneidade</w:t>
            </w:r>
          </w:p>
        </w:tc>
        <w:tc>
          <w:tcPr>
            <w:tcW w:w="1872" w:type="dxa"/>
          </w:tcPr>
          <w:p>
            <w:pPr/>
            <w:r>
              <w:t xml:space="preserve">Sim, após a definitividade (modelo 21.9)</w:t>
            </w:r>
          </w:p>
        </w:tc>
        <w:tc>
          <w:tcPr>
            <w:tcW w:w="1872" w:type="dxa"/>
          </w:tcPr>
          <w:p>
            <w:pPr/>
            <w:r>
              <w:t xml:space="preserve">Sim: ofício no dia da certidão de definitividade (modelo 21.21)</w:t>
            </w:r>
          </w:p>
        </w:tc>
        <w:tc>
          <w:tcPr>
            <w:tcW w:w="1872" w:type="dxa"/>
          </w:tcPr>
          <w:p>
            <w:pPr/>
            <w:r>
              <w:t xml:space="preserve">Sim</w:t>
            </w:r>
          </w:p>
        </w:tc>
        <w:tc>
          <w:tcPr>
            <w:tcW w:w="1872" w:type="dxa"/>
          </w:tcPr>
          <w:p>
            <w:pPr/>
            <w:r>
              <w:t xml:space="preserve">Lei 14.133, art. 161; Dec. 28.874, art. 186, p.ú., III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Sanções da Lei 12.846 e acordos de leniência</w:t>
            </w:r>
          </w:p>
        </w:tc>
        <w:tc>
          <w:tcPr>
            <w:tcW w:w="1872" w:type="dxa"/>
          </w:tcPr>
          <w:p>
            <w:pPr/>
            <w:r>
              <w:t xml:space="preserve">Pela CGE</w:t>
            </w:r>
          </w:p>
        </w:tc>
        <w:tc>
          <w:tcPr>
            <w:tcW w:w="1872" w:type="dxa"/>
          </w:tcPr>
          <w:p>
            <w:pPr/>
            <w:r>
              <w:t xml:space="preserve">Cnep, pela CGE</w:t>
            </w:r>
          </w:p>
        </w:tc>
        <w:tc>
          <w:tcPr>
            <w:tcW w:w="1872" w:type="dxa"/>
          </w:tcPr>
          <w:p>
            <w:pPr/>
            <w:r>
              <w:t xml:space="preserve">Sim</w:t>
            </w:r>
          </w:p>
        </w:tc>
        <w:tc>
          <w:tcPr>
            <w:tcW w:w="1872" w:type="dxa"/>
          </w:tcPr>
          <w:p>
            <w:pPr/>
            <w:r>
              <w:t xml:space="preserve">Lei 12.846, arts. 22 e 23</w:t>
            </w:r>
          </w:p>
        </w:tc>
      </w:tr>
    </w:tbl>
    <w:p>
      <w:pPr/>
      <w:r>
        <w:rPr>
          <w:b/>
        </w:rPr>
        <w:t xml:space="preserve">Prazo.</w:t>
      </w:r>
      <w:r>
        <w:t xml:space="preserve"> O art. 161 fixa 15 dias úteis da aplicação da sanção. Como recurso e reconsideração têm efeito suspensivo, o registro é feito após a decisão definitiva. Para não perder o prazo, envie à CGE no mesmo dia da certidão de definitividade.</w:t>
      </w:r>
    </w:p>
    <w:p>
      <w:pPr/>
      <w:r>
        <w:rPr>
          <w:b/>
        </w:rPr>
        <w:t xml:space="preserve">Consulta obrigatória.</w:t>
      </w:r>
      <w:r>
        <w:t xml:space="preserve"> Antes de contratar ou pagar, os órgãos estaduais devem consultar o registro cadastral unificado, inclusive quanto a sanções (Lei 14.133, art. 91, § 4º; Dec. 28.874, art. 141). Na SUGESP, inclua a consulta ao Ceis, ao Cnep e ao cadastro estadual no checklist de habilitação e de prorrogação contratual.</w:t>
      </w:r>
    </w:p>
    <w:p>
      <w:pPr>
        <w:pStyle w:val="Heading3"/>
      </w:pPr>
      <w:r>
        <w:t xml:space="preserve">15.2 Extrato no DOE</w:t>
      </w:r>
    </w:p>
    <w:p>
      <w:pPr/>
      <w:r>
        <w:t xml:space="preserve">Publique o extrato de impedimento e inidoneidade após a definitividade, com: nome empresarial, CNPJ, processo, contrato, inciso do art. 155, sanção, prazo, abrangência e datas de início e fim. Não publique CPF completo de sócios, endereço residencial ou dados de empregados (LGPD).</w:t>
      </w:r>
    </w:p>
    <w:p>
      <w:pPr>
        <w:pStyle w:val="Heading3"/>
      </w:pPr>
      <w:r>
        <w:t xml:space="preserve">15.3 Cobrança da multa</w:t>
      </w:r>
    </w:p>
    <w:p>
      <w:pPr>
        <w:pStyle w:val="ListParagraph"/>
        <w:numPr>
          <w:ilvl w:val="0"/>
          <w:numId w:val="25"/>
        </w:numPr>
      </w:pPr>
      <w:r>
        <w:rPr>
          <w:b/>
        </w:rPr>
        <w:t xml:space="preserve">Desconto em pagamentos devidos</w:t>
      </w:r>
      <w:r>
        <w:t xml:space="preserve"> à contratada naquele contrato (Lei 14.133, art. 156, § 8º).</w:t>
      </w:r>
    </w:p>
    <w:p>
      <w:pPr>
        <w:pStyle w:val="ListParagraph"/>
        <w:numPr>
          <w:ilvl w:val="0"/>
          <w:numId w:val="25"/>
        </w:numPr>
      </w:pPr>
      <w:r>
        <w:rPr>
          <w:b/>
        </w:rPr>
        <w:t xml:space="preserve">Desconto da garantia</w:t>
      </w:r>
      <w:r>
        <w:t xml:space="preserve">, se os pagamentos não bastarem; a garantia deve ser recomposta pela contratada, se o contrato prosseguir (art. 156, § 8º; art. 139, III, "c").</w:t>
      </w:r>
    </w:p>
    <w:p>
      <w:pPr>
        <w:pStyle w:val="ListParagraph"/>
        <w:numPr>
          <w:ilvl w:val="0"/>
          <w:numId w:val="25"/>
        </w:numPr>
      </w:pPr>
      <w:r>
        <w:rPr>
          <w:b/>
        </w:rPr>
        <w:t xml:space="preserve">Recolhimento voluntário</w:t>
      </w:r>
      <w:r>
        <w:t xml:space="preserve"> por guia, no prazo fixado na decisão.</w:t>
      </w:r>
    </w:p>
    <w:p>
      <w:pPr>
        <w:pStyle w:val="ListParagraph"/>
        <w:numPr>
          <w:ilvl w:val="0"/>
          <w:numId w:val="25"/>
        </w:numPr>
      </w:pPr>
      <w:r>
        <w:rPr>
          <w:b/>
        </w:rPr>
        <w:t xml:space="preserve">Remessa à PGE</w:t>
      </w:r>
      <w:r>
        <w:t xml:space="preserve"> para inscrição em dívida ativa e cobrança, se não houver pagamento (art. 156, § 8º; Lei 4.320/1964, art. 39, § 2º).</w:t>
      </w:r>
    </w:p>
    <w:p>
      <w:pPr/>
      <w:r>
        <w:t xml:space="preserve">CAF, GFIN e GCONT executam e registram cada etapa e informam à GCONV a quitação, necessária para eventual reabilitação.</w:t>
      </w:r>
    </w:p>
    <w:p>
      <w:pPr/>
      <w:r>
        <w:rPr>
          <w:b/>
        </w:rPr>
        <w:t xml:space="preserve">Juros e correção.</w:t>
      </w:r>
      <w:r>
        <w:t xml:space="preserve"> Até a inscrição em dívida ativa, seguem o contrato e só incidem a partir do vencimento da multa definitiva não paga; não se aplicam juros sobre o valor de notas fiscais nem antes da decisão. Após a inscrição, incidem os encargos legais da dívida ativa estadual (Lei 4.320/1964, art. 39, §§ 2º e 4º).</w:t>
      </w:r>
    </w:p>
    <w:p>
      <w:pPr/>
      <w:r>
        <w:rPr>
          <w:b/>
        </w:rPr>
        <w:t xml:space="preserve">Recuperação judicial e falência.</w:t>
      </w:r>
      <w:r>
        <w:t xml:space="preserve"> O processo sancionatório prossegue. A recuperação judicial, por si só, não impede a sanção nem extingue o contrato; a falência é causa de extinção (Lei 14.133, art. 137, IV), e nela se intima também o administrador judicial. A cobrança da multa e do ressarcimento segue a Lei 11.101/2005 e cabe à PGE, inclusive a habilitação do crédito: informe a PGE assim que souber do pedido.</w:t>
      </w:r>
    </w:p>
    <w:p>
      <w:pPr>
        <w:pStyle w:val="Heading2"/>
      </w:pPr>
      <w:r>
        <w:t xml:space="preserve">16. Reabilitação (art. 163)</w:t>
      </w:r>
    </w:p>
    <w:p>
      <w:pPr/>
      <w:r>
        <w:t xml:space="preserve">A reabilitação encerra antecipadamente os efeitos do impedimento ou da inidoneidade. É requerida pela empresa à própria autoridade que aplicou a sanção e depende de cinco requisitos cumulativos.</w:t>
      </w:r>
    </w:p>
    <w:p>
      <w:pPr>
        <w:pStyle w:val="Heading3"/>
      </w:pPr>
      <w:r>
        <w:t xml:space="preserve">16.1 Requisitos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Requisito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Como comprovar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Quem certifica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Reparação integral do dano</w:t>
            </w:r>
          </w:p>
        </w:tc>
        <w:tc>
          <w:tcPr>
            <w:tcW w:w="3120" w:type="dxa"/>
          </w:tcPr>
          <w:p>
            <w:pPr/>
            <w:r>
              <w:t xml:space="preserve">Comprovante de ressarcimento ou certidão de inexistência de dano apurado</w:t>
            </w:r>
          </w:p>
        </w:tc>
        <w:tc>
          <w:tcPr>
            <w:tcW w:w="3120" w:type="dxa"/>
          </w:tcPr>
          <w:p>
            <w:pPr/>
            <w:r>
              <w:t xml:space="preserve">CAF/GFIN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Pagamento da multa</w:t>
            </w:r>
          </w:p>
        </w:tc>
        <w:tc>
          <w:tcPr>
            <w:tcW w:w="3120" w:type="dxa"/>
          </w:tcPr>
          <w:p>
            <w:pPr/>
            <w:r>
              <w:t xml:space="preserve">Comprovante de quitação ou certidão negativa de dívida ativa relativa à multa</w:t>
            </w:r>
          </w:p>
        </w:tc>
        <w:tc>
          <w:tcPr>
            <w:tcW w:w="3120" w:type="dxa"/>
          </w:tcPr>
          <w:p>
            <w:pPr/>
            <w:r>
              <w:t xml:space="preserve">CAF/GFIN e PGE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Prazo mínimo</w:t>
            </w:r>
          </w:p>
        </w:tc>
        <w:tc>
          <w:tcPr>
            <w:tcW w:w="3120" w:type="dxa"/>
          </w:tcPr>
          <w:p>
            <w:pPr/>
            <w:r>
              <w:t xml:space="preserve">1 ano (impedimento) ou 3 anos (inidoneidade), contados da decisão definitiva</w:t>
            </w:r>
          </w:p>
        </w:tc>
        <w:tc>
          <w:tcPr>
            <w:tcW w:w="3120" w:type="dxa"/>
          </w:tcPr>
          <w:p>
            <w:pPr/>
            <w:r>
              <w:t xml:space="preserve">GCONV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Condições fixadas no ato punitivo</w:t>
            </w:r>
          </w:p>
        </w:tc>
        <w:tc>
          <w:tcPr>
            <w:tcW w:w="3120" w:type="dxa"/>
          </w:tcPr>
          <w:p>
            <w:pPr/>
            <w:r>
              <w:t xml:space="preserve">Documentos exigidos na decisão, como capacitação ou auditoria</w:t>
            </w:r>
          </w:p>
        </w:tc>
        <w:tc>
          <w:tcPr>
            <w:tcW w:w="3120" w:type="dxa"/>
          </w:tcPr>
          <w:p>
            <w:pPr/>
            <w:r>
              <w:t xml:space="preserve">Gestor ou comissão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Análise jurídica prévia e conclusiva</w:t>
            </w:r>
          </w:p>
        </w:tc>
        <w:tc>
          <w:tcPr>
            <w:tcW w:w="3120" w:type="dxa"/>
          </w:tcPr>
          <w:p>
            <w:pPr/>
            <w:r>
              <w:t xml:space="preserve">Parecer da Assessoria Jurídica</w:t>
            </w:r>
          </w:p>
        </w:tc>
        <w:tc>
          <w:tcPr>
            <w:tcW w:w="3120" w:type="dxa"/>
          </w:tcPr>
          <w:p>
            <w:pPr/>
            <w:r>
              <w:t xml:space="preserve">PGE</w:t>
            </w:r>
          </w:p>
        </w:tc>
      </w:tr>
    </w:tbl>
    <w:p>
      <w:pPr/>
      <w:r>
        <w:rPr>
          <w:b/>
        </w:rPr>
        <w:t xml:space="preserve">Integridade obrigatória.</w:t>
      </w:r>
      <w:r>
        <w:t xml:space="preserve"> Se a sanção decorreu de documento ou declaração falsa (art. 155, VIII) ou de ato lesivo da Lei 12.846 (art. 155, XII), a reabilitação exige implantação ou aperfeiçoamento de programa de integridade (art. 163, p.ú.).</w:t>
      </w:r>
    </w:p>
    <w:p>
      <w:pPr>
        <w:pStyle w:val="Heading3"/>
      </w:pPr>
      <w:r>
        <w:t xml:space="preserve">16.2 Procedimento</w:t>
      </w:r>
    </w:p>
    <w:p>
      <w:pPr>
        <w:pStyle w:val="ListParagraph"/>
        <w:numPr>
          <w:ilvl w:val="0"/>
          <w:numId w:val="26"/>
        </w:numPr>
      </w:pPr>
      <w:r>
        <w:t xml:space="preserve">A empresa protocola requerimento dirigido à autoridade que aplicou a sanção.</w:t>
      </w:r>
    </w:p>
    <w:p>
      <w:pPr>
        <w:pStyle w:val="ListParagraph"/>
        <w:numPr>
          <w:ilvl w:val="0"/>
          <w:numId w:val="26"/>
        </w:numPr>
      </w:pPr>
      <w:r>
        <w:t xml:space="preserve">A GCONV autua em apenso ao processo sancionatório e confere prazos e condições.</w:t>
      </w:r>
    </w:p>
    <w:p>
      <w:pPr>
        <w:pStyle w:val="ListParagraph"/>
        <w:numPr>
          <w:ilvl w:val="0"/>
          <w:numId w:val="26"/>
        </w:numPr>
      </w:pPr>
      <w:r>
        <w:t xml:space="preserve">A CAF informa a situação da multa e do ressarcimento.</w:t>
      </w:r>
    </w:p>
    <w:p>
      <w:pPr>
        <w:pStyle w:val="ListParagraph"/>
        <w:numPr>
          <w:ilvl w:val="0"/>
          <w:numId w:val="26"/>
        </w:numPr>
      </w:pPr>
      <w:r>
        <w:t xml:space="preserve">A Assessoria Jurídica emite parecer conclusivo sobre cada requisito.</w:t>
      </w:r>
    </w:p>
    <w:p>
      <w:pPr>
        <w:pStyle w:val="ListParagraph"/>
        <w:numPr>
          <w:ilvl w:val="0"/>
          <w:numId w:val="26"/>
        </w:numPr>
      </w:pPr>
      <w:r>
        <w:t xml:space="preserve">A autoridade decide. Se deferir, a GCONV comunica imediatamente à CGE para baixa nos cadastros e publica o extrato no DOE.</w:t>
      </w:r>
    </w:p>
    <w:p>
      <w:pPr/>
      <w:r>
        <w:t xml:space="preserve">Na inidoneidade, o pedido se dirige à autoridade que aplicou a sanção (seção 3.2).</w:t>
      </w:r>
    </w:p>
    <w:p>
      <w:pPr>
        <w:pStyle w:val="Heading3"/>
      </w:pPr>
      <w:r>
        <w:t xml:space="preserve">16.3 Dica de redação do ato punitivo</w:t>
      </w:r>
    </w:p>
    <w:p>
      <w:pPr/>
      <w:r>
        <w:t xml:space="preserve">Como o inciso IV do art. 163 remete às "condições de reabilitação definidas no ato punitivo", toda decisão de impedimento ou inidoneidade deve fixá-las desde logo, de forma objetiva e verificável. Exemplos: comprovação de capacitação da equipe em gestão contratual; adoção de controle interno de qualidade documentado; para fraudes, programa de integridade avaliado conforme as orientações da CGU.</w:t>
      </w:r>
    </w:p>
    <w:p>
      <w:pPr>
        <w:pStyle w:val="Heading2"/>
      </w:pPr>
      <w:r>
        <w:t xml:space="preserve">17. Situações especiais</w:t>
      </w:r>
    </w:p>
    <w:p>
      <w:pPr/>
      <w:r>
        <w:t xml:space="preserve">Nove situações fogem do fluxo comum e exigem cuidado adicional: ato lesivo da Lei Anticorrupção, desconsideração da personalidade jurídica, registro de preços, consórcios, microempresas, indícios de crime, documento possivelmente falso, contratada que desaparece e outros contratos com a mesma empresa.</w:t>
      </w:r>
    </w:p>
    <w:p>
      <w:pPr>
        <w:pStyle w:val="Heading3"/>
      </w:pPr>
      <w:r>
        <w:t xml:space="preserve">17.1 Ato lesivo da Lei 12.846/2013: o PAR é da CGE</w:t>
      </w:r>
    </w:p>
    <w:p>
      <w:pPr/>
      <w:r>
        <w:t xml:space="preserve">Quando o mesmo fato é infração da Lei 14.133 e ato lesivo da Lei 12.846, a apuração e o julgamento são conjuntos, nos mesmos autos, pelo rito e pela autoridade da Lei Anticorrupção, em processo administrativo de responsabilização, o PAR (Lei 14.133, art. 159; Dec. 28.874, art. 187). Em Rondônia, o PAR é regulado pelo Decreto nº 23.907/2019 e conduzido pela CGE. A SUGESP não instaura PAR, não abre investigação preliminar e não abre rito sumário nem comissão sobre os mesmos fatos.</w:t>
      </w:r>
    </w:p>
    <w:p>
      <w:pPr/>
      <w:r>
        <w:rPr>
          <w:b/>
        </w:rPr>
        <w:t xml:space="preserve">Por que remeter, e não instaurar.</w:t>
      </w:r>
      <w:r>
        <w:t xml:space="preserve"> O Decreto 23.907/2019 dá competência concorrente ao órgão lesado e ao Controlador-Geral, que pode avocar (art. 8º). Mas exige investigação preliminar prévia (art. 2º), comissão de três servidores com um da CGE (arts. 8º, § 4º, e 10), multa calculada sobre o faturamento da empresa (art. 26) e recurso ao Conselho de Transparência (art. 20). A CGE tem a estrutura para isso; remeter evita decisões contraditórias e dupla punição.</w:t>
      </w:r>
    </w:p>
    <w:p>
      <w:pPr/>
      <w:r>
        <w:rPr>
          <w:b/>
        </w:rPr>
        <w:t xml:space="preserve">Teste do PAR.</w:t>
      </w:r>
      <w:r>
        <w:t xml:space="preserve"> Antes de escolher o rito, verifique se o fato também se enquadra no art. 5º da Lei 12.846. Os casos mais comuns na SUGESP:</w:t>
      </w:r>
    </w:p>
    <w:p>
      <w:pPr>
        <w:pStyle w:val="ListParagraph"/>
        <w:numPr>
          <w:ilvl w:val="0"/>
          <w:numId w:val="27"/>
        </w:numPr>
      </w:pPr>
      <w:r>
        <w:t xml:space="preserve">oferecer ou dar vantagem indevida a agente público (art. 5º, I);</w:t>
      </w:r>
    </w:p>
    <w:p>
      <w:pPr>
        <w:pStyle w:val="ListParagraph"/>
        <w:numPr>
          <w:ilvl w:val="0"/>
          <w:numId w:val="27"/>
        </w:numPr>
      </w:pPr>
      <w:r>
        <w:t xml:space="preserve">frustrar ou fraudar, por ajuste ou combinação, o caráter competitivo da licitação, como combinação de preços ou orçamentos de cobertura (art. 5º, IV, "a");</w:t>
      </w:r>
    </w:p>
    <w:p>
      <w:pPr>
        <w:pStyle w:val="ListParagraph"/>
        <w:numPr>
          <w:ilvl w:val="0"/>
          <w:numId w:val="27"/>
        </w:numPr>
      </w:pPr>
      <w:r>
        <w:t xml:space="preserve">afastar licitante por fraude ou oferta de vantagem (art. 5º, IV, "c");</w:t>
      </w:r>
    </w:p>
    <w:p>
      <w:pPr>
        <w:pStyle w:val="ListParagraph"/>
        <w:numPr>
          <w:ilvl w:val="0"/>
          <w:numId w:val="27"/>
        </w:numPr>
      </w:pPr>
      <w:r>
        <w:t xml:space="preserve">fraudar licitação ou contrato, inclusive com documento falso usado para vencer o certame, notas de abastecimento sem abastecimento ou cobrança de peças não trocadas (art. 5º, IV, "d");</w:t>
      </w:r>
    </w:p>
    <w:p>
      <w:pPr>
        <w:pStyle w:val="ListParagraph"/>
        <w:numPr>
          <w:ilvl w:val="0"/>
          <w:numId w:val="27"/>
        </w:numPr>
      </w:pPr>
      <w:r>
        <w:t xml:space="preserve">criar pessoa jurídica de modo fraudulento para licitar ou contratar (art. 5º, IV, "e");</w:t>
      </w:r>
    </w:p>
    <w:p>
      <w:pPr>
        <w:pStyle w:val="ListParagraph"/>
        <w:numPr>
          <w:ilvl w:val="0"/>
          <w:numId w:val="27"/>
        </w:numPr>
      </w:pPr>
      <w:r>
        <w:t xml:space="preserve">obter vantagem indevida em aditivo ou prorrogação, ou manipular o equilíbrio econômico-financeiro (art. 5º, IV, "f" e "g").</w:t>
      </w:r>
    </w:p>
    <w:p>
      <w:pPr/>
      <w:r>
        <w:t xml:space="preserve">Se a resposta for sim, ou houver dúvida, remeta à CGE. Documento falso que não serviu para fraudar o certame ou o contrato segue o processo com comissão da SUGESP (inciso VIII).</w:t>
      </w:r>
    </w:p>
    <w:p>
      <w:pPr/>
      <w:r>
        <w:rPr>
          <w:b/>
        </w:rPr>
        <w:t xml:space="preserve">Na SUGESP, passo a passo.</w:t>
      </w:r>
    </w:p>
    <w:p>
      <w:pPr>
        <w:pStyle w:val="ListParagraph"/>
        <w:numPr>
          <w:ilvl w:val="0"/>
          <w:numId w:val="28"/>
        </w:numPr>
      </w:pPr>
      <w:r>
        <w:t xml:space="preserve">A GCONV registra o indício, preserva as provas (cópias, logs, mensagens do sistema) e certifica a data da ciência.</w:t>
      </w:r>
    </w:p>
    <w:p>
      <w:pPr>
        <w:pStyle w:val="ListParagraph"/>
        <w:numPr>
          <w:ilvl w:val="0"/>
          <w:numId w:val="28"/>
        </w:numPr>
      </w:pPr>
      <w:r>
        <w:t xml:space="preserve">O Superintendente remete os autos à CGE em até 5 dias úteis da ciência, por ofício (modelo 21.20), com o dossiê e o pedido expresso de manifestação sobre a instauração.</w:t>
      </w:r>
    </w:p>
    <w:p>
      <w:pPr>
        <w:pStyle w:val="ListParagraph"/>
        <w:numPr>
          <w:ilvl w:val="0"/>
          <w:numId w:val="28"/>
        </w:numPr>
      </w:pPr>
      <w:r>
        <w:t xml:space="preserve">Enquanto aguarda, a SUGESP mantém a gestão do contrato: notificações, glosa, retenção cautelar nos limites da seção 6.3, extinção se necessária (seção 10.5) e aviso ao garantidor.</w:t>
      </w:r>
    </w:p>
    <w:p>
      <w:pPr>
        <w:pStyle w:val="ListParagraph"/>
        <w:numPr>
          <w:ilvl w:val="0"/>
          <w:numId w:val="28"/>
        </w:numPr>
      </w:pPr>
      <w:r>
        <w:t xml:space="preserve">Se a CGE concluir que não há ato lesivo, a SUGESP segue pelo rito simplificado ou pela comissão, conforme a seção 8. O tempo em que os autos ficaram na CGE conta para a prescrição.</w:t>
      </w:r>
    </w:p>
    <w:p>
      <w:pPr>
        <w:pStyle w:val="ListParagraph"/>
        <w:numPr>
          <w:ilvl w:val="0"/>
          <w:numId w:val="28"/>
        </w:numPr>
      </w:pPr>
      <w:r>
        <w:t xml:space="preserve">Se a CGE instaurar o PAR, a SUGESP colabora com a instrução e não aplica sanção da Lei 14.133 pelos mesmos fatos.</w:t>
      </w:r>
    </w:p>
    <w:p>
      <w:pPr>
        <w:pStyle w:val="Heading3"/>
      </w:pPr>
      <w:r>
        <w:t xml:space="preserve">17.2 Desconsideração da personalidade jurídica</w:t>
      </w:r>
    </w:p>
    <w:p>
      <w:pPr/>
      <w:r>
        <w:t xml:space="preserve">A personalidade jurídica pode ser desconsiderada quando usada com abuso de direito para facilitar, encobrir ou dissimular ilícitos, ou para provocar confusão patrimonial. Os efeitos da sanção se estendem a administradores e sócios com poderes de administração, à sucessora ou a empresa do mesmo ramo com relação de coligação ou controle (Lei 14.133, art. 160).</w:t>
      </w:r>
    </w:p>
    <w:p>
      <w:pPr>
        <w:pStyle w:val="ListParagraph"/>
        <w:numPr>
          <w:ilvl w:val="0"/>
          <w:numId w:val="29"/>
        </w:numPr>
      </w:pPr>
      <w:r>
        <w:rPr>
          <w:b/>
        </w:rPr>
        <w:t xml:space="preserve">Requisitos:</w:t>
      </w:r>
      <w:r>
        <w:t xml:space="preserve"> contraditório e ampla defesa de cada atingido, que deve ser intimado, e análise jurídica prévia.</w:t>
      </w:r>
    </w:p>
    <w:p>
      <w:pPr>
        <w:pStyle w:val="ListParagraph"/>
        <w:numPr>
          <w:ilvl w:val="0"/>
          <w:numId w:val="29"/>
        </w:numPr>
      </w:pPr>
      <w:r>
        <w:rPr>
          <w:b/>
        </w:rPr>
        <w:t xml:space="preserve">Indícios típicos:</w:t>
      </w:r>
      <w:r>
        <w:t xml:space="preserve"> mesmos sócios, mesmo ramo e endereço, transferência de acervo técnico ou de empregados, empresa criada logo após a sanção. O TCU admitiu estender a inidoneidade à sucessora com esses elementos (Acórdão 1.831/2014-Plenário).</w:t>
      </w:r>
    </w:p>
    <w:p>
      <w:pPr>
        <w:pStyle w:val="ListParagraph"/>
        <w:numPr>
          <w:ilvl w:val="0"/>
          <w:numId w:val="29"/>
        </w:numPr>
      </w:pPr>
      <w:r>
        <w:rPr>
          <w:b/>
        </w:rPr>
        <w:t xml:space="preserve">Excepcionalidade:</w:t>
      </w:r>
      <w:r>
        <w:t xml:space="preserve"> a responsabilidade é prioritariamente da pessoa jurídica; a desconsideração exige prova do abuso (TCU, Acórdão 8.987/2020-1ª Câmara).</w:t>
      </w:r>
    </w:p>
    <w:p>
      <w:pPr>
        <w:pStyle w:val="ListParagraph"/>
        <w:numPr>
          <w:ilvl w:val="0"/>
          <w:numId w:val="29"/>
        </w:numPr>
      </w:pPr>
      <w:r>
        <w:rPr>
          <w:b/>
        </w:rPr>
        <w:t xml:space="preserve">Na licitação:</w:t>
      </w:r>
      <w:r>
        <w:t xml:space="preserve"> a empresa que atua em substituição à sancionada para burlar a sanção também fica impedida de participar, provado o ilícito (art. 14, § 1º).</w:t>
      </w:r>
    </w:p>
    <w:p>
      <w:pPr/>
      <w:r>
        <w:rPr>
          <w:b/>
        </w:rPr>
        <w:t xml:space="preserve">Procedimento.</w:t>
      </w:r>
      <w:r>
        <w:t xml:space="preserve"> A desconsideração é decidida em incidente nos autos do processo sancionatório; quando a sucessora ou coligada surgir depois da sanção, em processo próprio. Cada atingido (administrador, sócio com poder de administração, sucessora ou coligada) é intimado com a descrição do abuso e tem 15 dias úteis para defesa e provas. Segue-se a análise jurídica prévia e a decisão da autoridade competente para a sanção cujos efeitos se estendem, que na inidoneidade é a autoridade com status de Secretário (seção 3.2). Os atingidos são informados à CGE para registro.</w:t>
      </w:r>
    </w:p>
    <w:p>
      <w:pPr>
        <w:pStyle w:val="Heading3"/>
      </w:pPr>
      <w:r>
        <w:t xml:space="preserve">17.3 Atas de registro de preços</w:t>
      </w:r>
    </w:p>
    <w:p>
      <w:pPr>
        <w:pStyle w:val="ListParagraph"/>
        <w:numPr>
          <w:ilvl w:val="0"/>
          <w:numId w:val="30"/>
        </w:numPr>
      </w:pPr>
      <w:r>
        <w:rPr>
          <w:b/>
        </w:rPr>
        <w:t xml:space="preserve">Fornecedor que não assina a ata</w:t>
      </w:r>
      <w:r>
        <w:t xml:space="preserve"> ou não assina o contrato dela decorrente: enquadra-se, em regra, no art. 155, VI, e o registro pode ser cancelado (Dec. 28.874, art. 136, II). A recusa em assinar a ata e o descumprimento da ata são apurados pelo órgão gerenciador (art. 122, IX).</w:t>
      </w:r>
    </w:p>
    <w:p>
      <w:pPr>
        <w:pStyle w:val="ListParagraph"/>
        <w:numPr>
          <w:ilvl w:val="0"/>
          <w:numId w:val="30"/>
        </w:numPr>
      </w:pPr>
      <w:r>
        <w:rPr>
          <w:b/>
        </w:rPr>
        <w:t xml:space="preserve">Cancelamento do registro</w:t>
      </w:r>
      <w:r>
        <w:t xml:space="preserve"> exige contraditório e despacho da autoridade do órgão gerenciador, após manifestação da fiscalização (Dec. 28.874, art. 136, § 1º). Cancelamento não é sanção e não dispensa o processo sancionatório.</w:t>
      </w:r>
    </w:p>
    <w:p>
      <w:pPr>
        <w:pStyle w:val="ListParagraph"/>
        <w:numPr>
          <w:ilvl w:val="0"/>
          <w:numId w:val="30"/>
        </w:numPr>
      </w:pPr>
      <w:r>
        <w:rPr>
          <w:b/>
        </w:rPr>
        <w:t xml:space="preserve">Divisão de tarefas:</w:t>
      </w:r>
      <w:r>
        <w:t xml:space="preserve"> o órgão participante apura o descumprimento dos seus contratos, em coordenação com o gerenciador, e informa a este as recusas e divergências (Dec. 28.874, art. 123, VI e VII). Quando a SUGESP for gerenciadora, as infrações relativas à ata em si são apuradas por ela.</w:t>
      </w:r>
    </w:p>
    <w:p>
      <w:pPr>
        <w:pStyle w:val="ListParagraph"/>
        <w:numPr>
          <w:ilvl w:val="0"/>
          <w:numId w:val="30"/>
        </w:numPr>
      </w:pPr>
      <w:r>
        <w:rPr>
          <w:b/>
        </w:rPr>
        <w:t xml:space="preserve">Liberação sem penalidade:</w:t>
      </w:r>
      <w:r>
        <w:t xml:space="preserve"> se o preço ficar desatualizado por fato superveniente, o gerenciador pode liberar o fornecedor do compromisso sem aplicar penalidade (Dec. 28.874, art. 135, § 5º).</w:t>
      </w:r>
    </w:p>
    <w:p>
      <w:pPr>
        <w:pStyle w:val="Heading3"/>
      </w:pPr>
      <w:r>
        <w:t xml:space="preserve">17.4 Consórcios</w:t>
      </w:r>
    </w:p>
    <w:p>
      <w:pPr/>
      <w:r>
        <w:t xml:space="preserve">A solidariedade do art. 15, V, da Lei 14.133 alcança obrigações e prejuízos. Impedimento e inidoneidade só se aplicam à consorciada cuja conduta e culpa forem individualizadas. Estender a multa às demais consorciadas depende de previsão no edital e deve ser submetido à Assessoria Jurídica. Intime todas as consorciadas, não só a líder.</w:t>
      </w:r>
    </w:p>
    <w:p>
      <w:pPr>
        <w:pStyle w:val="Heading3"/>
      </w:pPr>
      <w:r>
        <w:t xml:space="preserve">17.5 Microempresas e empresas de pequeno porte</w:t>
      </w:r>
    </w:p>
    <w:p>
      <w:pPr/>
      <w:r>
        <w:t xml:space="preserve">Não há regime sancionatório mais brando para ME e EPP. Dois cuidados: a declaração falsa de enquadramento para obter tratamento favorecido configura o inciso VIII do art. 155; mas o TCU, ao aplicar a inidoneidade da sua lei orgânica (Lei 8.443/1992, art. 46), afastou a sanção da empresa que retificou a declaração no curso do certame, aplicando por analogia a desistência voluntária e o arrependimento eficaz (CP, art. 15) (Acórdão 1.466/2024-Plenário, Rel. Min. Benjamin Zymler). Levar a tese para a Lei 14.133 é analogia, a ser enfrentada na decisão.</w:t>
      </w:r>
    </w:p>
    <w:p>
      <w:pPr>
        <w:pStyle w:val="Heading3"/>
      </w:pPr>
      <w:r>
        <w:t xml:space="preserve">17.6 Indícios de crime e outras comunicações</w:t>
      </w:r>
    </w:p>
    <w:p>
      <w:pPr/>
      <w:r>
        <w:t xml:space="preserve">O processo administrativo não depende do penal, e vice-versa. Havendo indício de crime, remeta cópias ao Ministério Público (Lei 14.133, art. 169, § 3º, II). Tipos mais frequentes na rotina de contratos (Código Penal, incluídos pela Lei 14.133):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Artigo do CP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Crime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Exemplo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297 a 299 e 304</w:t>
            </w:r>
          </w:p>
        </w:tc>
        <w:tc>
          <w:tcPr>
            <w:tcW w:w="3120" w:type="dxa"/>
          </w:tcPr>
          <w:p>
            <w:pPr/>
            <w:r>
              <w:t xml:space="preserve">Falsificação de documento, falsidade ideológica e uso de documento falso</w:t>
            </w:r>
          </w:p>
        </w:tc>
        <w:tc>
          <w:tcPr>
            <w:tcW w:w="3120" w:type="dxa"/>
          </w:tcPr>
          <w:p>
            <w:pPr/>
            <w:r>
              <w:t xml:space="preserve">Atestado ou certidão falsos apresentados no certame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337-F</w:t>
            </w:r>
          </w:p>
        </w:tc>
        <w:tc>
          <w:tcPr>
            <w:tcW w:w="3120" w:type="dxa"/>
          </w:tcPr>
          <w:p>
            <w:pPr/>
            <w:r>
              <w:t xml:space="preserve">Frustração do caráter competitivo de licitação</w:t>
            </w:r>
          </w:p>
        </w:tc>
        <w:tc>
          <w:tcPr>
            <w:tcW w:w="3120" w:type="dxa"/>
          </w:tcPr>
          <w:p>
            <w:pPr/>
            <w:r>
              <w:t xml:space="preserve">Combinação de lances entre licitantes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337-I</w:t>
            </w:r>
          </w:p>
        </w:tc>
        <w:tc>
          <w:tcPr>
            <w:tcW w:w="3120" w:type="dxa"/>
          </w:tcPr>
          <w:p>
            <w:pPr/>
            <w:r>
              <w:t xml:space="preserve">Perturbação de processo licitatório</w:t>
            </w:r>
          </w:p>
        </w:tc>
        <w:tc>
          <w:tcPr>
            <w:tcW w:w="3120" w:type="dxa"/>
          </w:tcPr>
          <w:p>
            <w:pPr/>
            <w:r>
              <w:t xml:space="preserve">Impedir ou fraudar ato da sessão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337-K</w:t>
            </w:r>
          </w:p>
        </w:tc>
        <w:tc>
          <w:tcPr>
            <w:tcW w:w="3120" w:type="dxa"/>
          </w:tcPr>
          <w:p>
            <w:pPr/>
            <w:r>
              <w:t xml:space="preserve">Afastamento de licitante</w:t>
            </w:r>
          </w:p>
        </w:tc>
        <w:tc>
          <w:tcPr>
            <w:tcW w:w="3120" w:type="dxa"/>
          </w:tcPr>
          <w:p>
            <w:pPr/>
            <w:r>
              <w:t xml:space="preserve">Oferecer vantagem para que concorrente desista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337-L</w:t>
            </w:r>
          </w:p>
        </w:tc>
        <w:tc>
          <w:tcPr>
            <w:tcW w:w="3120" w:type="dxa"/>
          </w:tcPr>
          <w:p>
            <w:pPr/>
            <w:r>
              <w:t xml:space="preserve">Fraude em licitação ou contrato</w:t>
            </w:r>
          </w:p>
        </w:tc>
        <w:tc>
          <w:tcPr>
            <w:tcW w:w="3120" w:type="dxa"/>
          </w:tcPr>
          <w:p>
            <w:pPr/>
            <w:r>
              <w:t xml:space="preserve">Entregar mercadoria em quantidade ou qualidade diversa, ou falsificada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337-M</w:t>
            </w:r>
          </w:p>
        </w:tc>
        <w:tc>
          <w:tcPr>
            <w:tcW w:w="3120" w:type="dxa"/>
          </w:tcPr>
          <w:p>
            <w:pPr/>
            <w:r>
              <w:t xml:space="preserve">Contratação inidônea</w:t>
            </w:r>
          </w:p>
        </w:tc>
        <w:tc>
          <w:tcPr>
            <w:tcW w:w="3120" w:type="dxa"/>
          </w:tcPr>
          <w:p>
            <w:pPr/>
            <w:r>
              <w:t xml:space="preserve">Admitir à licitação empresa declarada inidônea; o § 2º pune também quem, declarado inidôneo, licita ou contrata</w:t>
            </w:r>
          </w:p>
        </w:tc>
      </w:tr>
    </w:tbl>
    <w:p>
      <w:pPr/>
      <w:r>
        <w:t xml:space="preserve">Cartel também deve ser comunicado ao CADE. Se o mesmo fato envolver conduta de servidor, envie cópia à CEAP.</w:t>
      </w:r>
    </w:p>
    <w:p>
      <w:pPr>
        <w:pStyle w:val="Heading3"/>
      </w:pPr>
      <w:r>
        <w:t xml:space="preserve">17.7 Documento possivelmente falso</w:t>
      </w:r>
    </w:p>
    <w:p>
      <w:pPr>
        <w:pStyle w:val="ListParagraph"/>
        <w:numPr>
          <w:ilvl w:val="0"/>
          <w:numId w:val="31"/>
        </w:numPr>
      </w:pPr>
      <w:r>
        <w:t xml:space="preserve">O agente de contratação, a GCOM ou o fiscal faz diligência formal ao emissor (modelo 21.24; Lei 14.133, art. 64) e certifica cada tentativa.</w:t>
      </w:r>
    </w:p>
    <w:p>
      <w:pPr>
        <w:pStyle w:val="ListParagraph"/>
        <w:numPr>
          <w:ilvl w:val="0"/>
          <w:numId w:val="31"/>
        </w:numPr>
      </w:pPr>
      <w:r>
        <w:t xml:space="preserve">O silêncio do emissor não é prova: reitere, busque outra fonte (contrato, nota fiscal, PNCP, CAT) e ouça a empresa.</w:t>
      </w:r>
    </w:p>
    <w:p>
      <w:pPr>
        <w:pStyle w:val="ListParagraph"/>
        <w:numPr>
          <w:ilvl w:val="0"/>
          <w:numId w:val="31"/>
        </w:numPr>
      </w:pPr>
      <w:r>
        <w:t xml:space="preserve">Negativa expressa ou divergência material: no certame, inabilite ou desclassifique, com recurso de 3 dias úteis; no contrato, avalie a extinção (seção 10.5).</w:t>
      </w:r>
    </w:p>
    <w:p>
      <w:pPr>
        <w:pStyle w:val="ListParagraph"/>
        <w:numPr>
          <w:ilvl w:val="0"/>
          <w:numId w:val="31"/>
        </w:numPr>
      </w:pPr>
      <w:r>
        <w:t xml:space="preserve">Se o documento serviu para vencer o certame ou obter vantagem no contrato, remeta à CGE (seção 17.1). Caso contrário, abra o processo com comissão da SUGESP (inciso VIII).</w:t>
      </w:r>
    </w:p>
    <w:p>
      <w:pPr>
        <w:pStyle w:val="ListParagraph"/>
        <w:numPr>
          <w:ilvl w:val="0"/>
          <w:numId w:val="31"/>
        </w:numPr>
      </w:pPr>
      <w:r>
        <w:t xml:space="preserve">Comunique o Ministério Público (CP, arts. 297 a 299 e 304).</w:t>
      </w:r>
    </w:p>
    <w:p>
      <w:pPr>
        <w:pStyle w:val="Heading3"/>
      </w:pPr>
      <w:r>
        <w:t xml:space="preserve">17.8 Contratada que desaparece</w:t>
      </w:r>
    </w:p>
    <w:p>
      <w:pPr/>
      <w:r>
        <w:t xml:space="preserve">Quando a contratada abandona a execução e deixa de responder, enquadre como inexecução total (inciso III) e abra a comissão. Tente intimar no e-mail, no endereço do contrato e no da Receita Federal e só então por edital no DOE (modelo 21.23). Notifique o garantidor (art. 137, § 4º). Avalie a assunção do objeto (art. 139, I) e a contratação do remanescente (art. 90, § 7º). Nos serviços com mão de obra exclusiva, pague diretamente os empregados (Dec. 28.874, art. 26, § 2º). Verifique se o CNPJ foi baixado ou se há falência (seção 15.3).</w:t>
      </w:r>
    </w:p>
    <w:p>
      <w:pPr>
        <w:pStyle w:val="Heading3"/>
      </w:pPr>
      <w:r>
        <w:t xml:space="preserve">17.9 Processo em curso, prorrogação e outros contratos</w:t>
      </w:r>
    </w:p>
    <w:p>
      <w:pPr/>
      <w:r>
        <w:t xml:space="preserve">Processo sancionatório em curso não impede, por si só, a prorrogação, mas o relatório da fiscalização deve mencioná-lo e a decisão de prorrogar deve considerá-lo. Antes de prorrogar, consulte o Ceis e o Cnep (Lei 14.133, art. 91, § 4º). Aplicado impedimento ou inidoneidade, a GCONV avisa os gestores de todos os contratos com a empresa (modelo 21.25), que avaliam caso a caso a continuidade e a não prorrogação, porque a sanção não extingue contratos em curso (seção 6.6). Descontar a multa de créditos de outro contrato é ponto a confirmar com a Assessoria Jurídica.</w:t>
      </w:r>
    </w:p>
    <w:p>
      <w:pPr>
        <w:pStyle w:val="Heading2"/>
      </w:pPr>
      <w:r>
        <w:t xml:space="preserve">18. Jurisprudência selecionada</w:t>
      </w:r>
    </w:p>
    <w:p>
      <w:pPr/>
      <w:r>
        <w:t xml:space="preserve">Os Tribunais de Contas convergem em três pontos: apurar e sancionar é dever do gestor; a sanção depende de processo regular e de culpa demonstrada; e a omissão injustificada gera responsabilidade pessoal. Os precedentes do TCE-RO foram conferidos no inteiro teor oficial; os do TCU, no guia oficial de jurisprudência ou em boletim oficial.</w:t>
      </w:r>
    </w:p>
    <w:p>
      <w:pPr>
        <w:pStyle w:val="Heading3"/>
      </w:pPr>
      <w:r>
        <w:t xml:space="preserve">18.1 Tribunal de Contas do Estado de Rondônia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Decisão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Tese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Onde usar</w:t>
            </w:r>
          </w:p>
        </w:tc>
      </w:tr>
      <w:tr>
        <w:tc>
          <w:tcPr>
            <w:tcW w:w="3120" w:type="dxa"/>
          </w:tcPr>
          <w:p>
            <w:pPr/>
            <w:hyperlink r:id="rId13" w:history="1">
              <w:r>
                <w:rPr>
                  <w:rStyle w:val="Hyperlink"/>
                </w:rPr>
                <w:t xml:space="preserve">Acórdão APL-TC 00180/21, Pleno, Proc. 04141/18</w:t>
              </w:r>
            </w:hyperlink>
          </w:p>
        </w:tc>
        <w:tc>
          <w:tcPr>
            <w:tcW w:w="3120" w:type="dxa"/>
          </w:tcPr>
          <w:p>
            <w:pPr/>
            <w:r>
              <w:t xml:space="preserve">Havendo previsão legal e contratual e verificada a hipótese de cabimento, o agente público tem o dever de aplicar a penalidade, pois é vedada a renúncia de direitos do Poder Público. O gestor que não aplicou multa à contratada pelo atraso da obra foi multado em R$ 8.100,00</w:t>
            </w:r>
          </w:p>
        </w:tc>
        <w:tc>
          <w:tcPr>
            <w:tcW w:w="3120" w:type="dxa"/>
          </w:tcPr>
          <w:p>
            <w:pPr/>
            <w:r>
              <w:t xml:space="preserve">Seções 4.2 e 19</w:t>
            </w:r>
          </w:p>
        </w:tc>
      </w:tr>
      <w:tr>
        <w:tc>
          <w:tcPr>
            <w:tcW w:w="3120" w:type="dxa"/>
          </w:tcPr>
          <w:p>
            <w:pPr/>
            <w:hyperlink r:id="rId14" w:history="1">
              <w:r>
                <w:rPr>
                  <w:rStyle w:val="Hyperlink"/>
                </w:rPr>
                <w:t xml:space="preserve">Acórdão AC1-TC 00191/22, 1ª Câmara, Proc. 03767/15</w:t>
              </w:r>
            </w:hyperlink>
          </w:p>
        </w:tc>
        <w:tc>
          <w:tcPr>
            <w:tcW w:w="3120" w:type="dxa"/>
          </w:tcPr>
          <w:p>
            <w:pPr/>
            <w:r>
              <w:t xml:space="preserve">Afastada a responsabilidade do ex-gestor que não foi comunicado das irregularidades: não lhe era exigível cominar sanções contratuais por fatos que desconhecia. Leitura deste manual: o peso recai sobre quem tinha o dever de comunicar</w:t>
            </w:r>
          </w:p>
        </w:tc>
        <w:tc>
          <w:tcPr>
            <w:tcW w:w="3120" w:type="dxa"/>
          </w:tcPr>
          <w:p>
            <w:pPr/>
            <w:r>
              <w:t xml:space="preserve">Seções 9.1 e 19</w:t>
            </w:r>
          </w:p>
        </w:tc>
      </w:tr>
      <w:tr>
        <w:tc>
          <w:tcPr>
            <w:tcW w:w="3120" w:type="dxa"/>
          </w:tcPr>
          <w:p>
            <w:pPr/>
            <w:hyperlink r:id="rId15" w:history="1">
              <w:r>
                <w:rPr>
                  <w:rStyle w:val="Hyperlink"/>
                </w:rPr>
                <w:t xml:space="preserve">Acórdão AC1-TC 00932/24, 1ª Câmara, Proc. 02069/23</w:t>
              </w:r>
            </w:hyperlink>
          </w:p>
        </w:tc>
        <w:tc>
          <w:tcPr>
            <w:tcW w:w="3120" w:type="dxa"/>
          </w:tcPr>
          <w:p>
            <w:pPr/>
            <w:r>
              <w:t xml:space="preserve">A multa contratual é aplicada pela Administração, não pelo Tribunal, e não exige prova de prejuízo específico: basta o descumprimento. O TCE determinou a instauração de processos para apurar as faltas das contratadas</w:t>
            </w:r>
          </w:p>
        </w:tc>
        <w:tc>
          <w:tcPr>
            <w:tcW w:w="3120" w:type="dxa"/>
          </w:tcPr>
          <w:p>
            <w:pPr/>
            <w:r>
              <w:t xml:space="preserve">Seções 4.3 e 6.3</w:t>
            </w:r>
          </w:p>
        </w:tc>
      </w:tr>
      <w:tr>
        <w:tc>
          <w:tcPr>
            <w:tcW w:w="3120" w:type="dxa"/>
          </w:tcPr>
          <w:p>
            <w:pPr/>
            <w:hyperlink r:id="rId16" w:history="1">
              <w:r>
                <w:rPr>
                  <w:rStyle w:val="Hyperlink"/>
                </w:rPr>
                <w:t xml:space="preserve">Acórdão APL-TC 00111/25, Pleno, Proc. 03348/23</w:t>
              </w:r>
            </w:hyperlink>
          </w:p>
        </w:tc>
        <w:tc>
          <w:tcPr>
            <w:tcW w:w="3120" w:type="dxa"/>
          </w:tcPr>
          <w:p>
            <w:pPr/>
            <w:r>
              <w:t xml:space="preserve">A rescisão consensual exige demonstração de que é a medida mais adequada ao interesse público e não pode substituir a apuração de descumprimentos contratuais (decisão preliminar, tomada por maioria)</w:t>
            </w:r>
          </w:p>
        </w:tc>
        <w:tc>
          <w:tcPr>
            <w:tcW w:w="3120" w:type="dxa"/>
          </w:tcPr>
          <w:p>
            <w:pPr/>
            <w:r>
              <w:t xml:space="preserve">Seções 4.3 e 19</w:t>
            </w:r>
          </w:p>
        </w:tc>
      </w:tr>
      <w:tr>
        <w:tc>
          <w:tcPr>
            <w:tcW w:w="3120" w:type="dxa"/>
          </w:tcPr>
          <w:p>
            <w:pPr/>
            <w:hyperlink r:id="rId17" w:history="1">
              <w:r>
                <w:rPr>
                  <w:rStyle w:val="Hyperlink"/>
                </w:rPr>
                <w:t xml:space="preserve">Acórdão APL-TC 00124/25, Pleno, Proc. 03436/23</w:t>
              </w:r>
            </w:hyperlink>
          </w:p>
        </w:tc>
        <w:tc>
          <w:tcPr>
            <w:tcW w:w="3120" w:type="dxa"/>
          </w:tcPr>
          <w:p>
            <w:pPr/>
            <w:r>
              <w:t xml:space="preserve">Antecedentes só contam para fins sancionatórios por cinco anos, do trânsito em julgado até a nova imputação</w:t>
            </w:r>
          </w:p>
        </w:tc>
        <w:tc>
          <w:tcPr>
            <w:tcW w:w="3120" w:type="dxa"/>
          </w:tcPr>
          <w:p>
            <w:pPr/>
            <w:r>
              <w:t xml:space="preserve">Seção 7.4</w:t>
            </w:r>
          </w:p>
        </w:tc>
      </w:tr>
      <w:tr>
        <w:tc>
          <w:tcPr>
            <w:tcW w:w="3120" w:type="dxa"/>
          </w:tcPr>
          <w:p>
            <w:pPr/>
            <w:hyperlink r:id="rId18" w:history="1">
              <w:r>
                <w:rPr>
                  <w:rStyle w:val="Hyperlink"/>
                </w:rPr>
                <w:t xml:space="preserve">Acórdão APL-TC 00147/25, Pleno, Proc. 01435/24</w:t>
              </w:r>
            </w:hyperlink>
          </w:p>
        </w:tc>
        <w:tc>
          <w:tcPr>
            <w:tcW w:w="3120" w:type="dxa"/>
          </w:tcPr>
          <w:p>
            <w:pPr/>
            <w:r>
              <w:t xml:space="preserve">Conluio entre licitantes com gestão unificada de fato configura fraude (art. 155, IX e X). O próprio TCE declarou a inidoneidade das empresas por 2 anos, com base em sua lei orgânica, além de multas</w:t>
            </w:r>
          </w:p>
        </w:tc>
        <w:tc>
          <w:tcPr>
            <w:tcW w:w="3120" w:type="dxa"/>
          </w:tcPr>
          <w:p>
            <w:pPr/>
            <w:r>
              <w:t xml:space="preserve">Seções 5.2 e 18.4</w:t>
            </w:r>
          </w:p>
        </w:tc>
      </w:tr>
      <w:tr>
        <w:tc>
          <w:tcPr>
            <w:tcW w:w="3120" w:type="dxa"/>
          </w:tcPr>
          <w:p>
            <w:pPr/>
            <w:hyperlink r:id="rId19" w:history="1">
              <w:r>
                <w:rPr>
                  <w:rStyle w:val="Hyperlink"/>
                </w:rPr>
                <w:t xml:space="preserve">Acórdão AC1-TC 00834/21, 1ª Câmara, Proc. 01996/20</w:t>
              </w:r>
            </w:hyperlink>
          </w:p>
        </w:tc>
        <w:tc>
          <w:tcPr>
            <w:tcW w:w="3120" w:type="dxa"/>
          </w:tcPr>
          <w:p>
            <w:pPr/>
            <w:r>
              <w:t xml:space="preserve">Afastada a multa do engenheiro que demorou a analisar pedido da contratada, pelo contexto da pandemia e pela ausência de dolo ou erro grosseiro (LINDB, art. 22, § 1º). Não é precedente sobre omissão em sancionar: essa falha foi considerada sanada</w:t>
            </w:r>
          </w:p>
        </w:tc>
        <w:tc>
          <w:tcPr>
            <w:tcW w:w="3120" w:type="dxa"/>
          </w:tcPr>
          <w:p>
            <w:pPr/>
            <w:r>
              <w:t xml:space="preserve">Seção 19</w:t>
            </w:r>
          </w:p>
        </w:tc>
      </w:tr>
    </w:tbl>
    <w:p>
      <w:pPr>
        <w:pStyle w:val="Heading3"/>
      </w:pPr>
      <w:r>
        <w:t xml:space="preserve">18.2 Tribunal de Contas da União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Decisão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Tese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Onde usar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Acórdão 754/2015-Plenário</w:t>
            </w:r>
          </w:p>
        </w:tc>
        <w:tc>
          <w:tcPr>
            <w:tcW w:w="3120" w:type="dxa"/>
          </w:tcPr>
          <w:p>
            <w:pPr/>
            <w:r>
              <w:t xml:space="preserve">Determinou aos órgãos que instaurem processo contra licitantes que pratiquem as condutas ilícitas tipificadas; a sanção não depende de dolo, mas da prática injustificada do ilícito</w:t>
            </w:r>
          </w:p>
        </w:tc>
        <w:tc>
          <w:tcPr>
            <w:tcW w:w="3120" w:type="dxa"/>
          </w:tcPr>
          <w:p>
            <w:pPr/>
            <w:r>
              <w:t xml:space="preserve">Seções 4.2 e 9.4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Acórdão 316/2024-Plenário</w:t>
            </w:r>
          </w:p>
        </w:tc>
        <w:tc>
          <w:tcPr>
            <w:tcW w:w="3120" w:type="dxa"/>
          </w:tcPr>
          <w:p>
            <w:pPr/>
            <w:r>
              <w:t xml:space="preserve">O processo sancionatório deve ser autuado independentemente de prejuízo ao erário</w:t>
            </w:r>
          </w:p>
        </w:tc>
        <w:tc>
          <w:tcPr>
            <w:tcW w:w="3120" w:type="dxa"/>
          </w:tcPr>
          <w:p>
            <w:pPr/>
            <w:r>
              <w:t xml:space="preserve">Seção 9.4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Acórdão 2.146/2022-Plenário</w:t>
            </w:r>
          </w:p>
        </w:tc>
        <w:tc>
          <w:tcPr>
            <w:tcW w:w="3120" w:type="dxa"/>
          </w:tcPr>
          <w:p>
            <w:pPr/>
            <w:r>
              <w:t xml:space="preserve">Não instaurar processo contra licitante que deixa de entregar documentação exigida contraria a lei</w:t>
            </w:r>
          </w:p>
        </w:tc>
        <w:tc>
          <w:tcPr>
            <w:tcW w:w="3120" w:type="dxa"/>
          </w:tcPr>
          <w:p>
            <w:pPr/>
            <w:r>
              <w:t xml:space="preserve">Seções 5.2 e 19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Acórdão 1.999/2019-Plenário</w:t>
            </w:r>
          </w:p>
        </w:tc>
        <w:tc>
          <w:tcPr>
            <w:tcW w:w="3120" w:type="dxa"/>
          </w:tcPr>
          <w:p>
            <w:pPr/>
            <w:r>
              <w:t xml:space="preserve">A falta de providências para apurar condutas irregulares em pregão é inobservância da lei</w:t>
            </w:r>
          </w:p>
        </w:tc>
        <w:tc>
          <w:tcPr>
            <w:tcW w:w="3120" w:type="dxa"/>
          </w:tcPr>
          <w:p>
            <w:pPr/>
            <w:r>
              <w:t xml:space="preserve">Seção 19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Acórdão 7.525/2017-2ª Câmara</w:t>
            </w:r>
          </w:p>
        </w:tc>
        <w:tc>
          <w:tcPr>
            <w:tcW w:w="3120" w:type="dxa"/>
          </w:tcPr>
          <w:p>
            <w:pPr/>
            <w:r>
              <w:t xml:space="preserve">Fraudes identificadas devem ser apuradas em processo administrativo, com aplicação das penalidades cabíveis</w:t>
            </w:r>
          </w:p>
        </w:tc>
        <w:tc>
          <w:tcPr>
            <w:tcW w:w="3120" w:type="dxa"/>
          </w:tcPr>
          <w:p>
            <w:pPr/>
            <w:r>
              <w:t xml:space="preserve">Seção 9.4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Acórdão 1.831/2014-Plenário</w:t>
            </w:r>
          </w:p>
        </w:tc>
        <w:tc>
          <w:tcPr>
            <w:tcW w:w="3120" w:type="dxa"/>
          </w:tcPr>
          <w:p>
            <w:pPr/>
            <w:r>
              <w:t xml:space="preserve">Identidade de sócios, mesmo ramo e transferência de acervo autorizam estender a inidoneidade à sucessora</w:t>
            </w:r>
          </w:p>
        </w:tc>
        <w:tc>
          <w:tcPr>
            <w:tcW w:w="3120" w:type="dxa"/>
          </w:tcPr>
          <w:p>
            <w:pPr/>
            <w:r>
              <w:t xml:space="preserve">Seção 17.2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Acórdão 8.987/2020-1ª Câmara</w:t>
            </w:r>
          </w:p>
        </w:tc>
        <w:tc>
          <w:tcPr>
            <w:tcW w:w="3120" w:type="dxa"/>
          </w:tcPr>
          <w:p>
            <w:pPr/>
            <w:r>
              <w:t xml:space="preserve">A responsabilidade é prioritariamente da pessoa jurídica; desconsideração é excepcional</w:t>
            </w:r>
          </w:p>
        </w:tc>
        <w:tc>
          <w:tcPr>
            <w:tcW w:w="3120" w:type="dxa"/>
          </w:tcPr>
          <w:p>
            <w:pPr/>
            <w:r>
              <w:t xml:space="preserve">Seção 17.2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Acórdão 1.466/2024-Plenário</w:t>
            </w:r>
          </w:p>
        </w:tc>
        <w:tc>
          <w:tcPr>
            <w:tcW w:w="3120" w:type="dxa"/>
          </w:tcPr>
          <w:p>
            <w:pPr/>
            <w:r>
              <w:t xml:space="preserve">Ao aplicar a inidoneidade da sua lei orgânica, o TCU afastou a sanção da empresa que retificou a falsa declaração de ME/EPP no curso do certame (desistência voluntária e arrependimento eficaz, CP, art. 15, por analogia; Boletim de Jurisprudência nº 504)</w:t>
            </w:r>
          </w:p>
        </w:tc>
        <w:tc>
          <w:tcPr>
            <w:tcW w:w="3120" w:type="dxa"/>
          </w:tcPr>
          <w:p>
            <w:pPr/>
            <w:r>
              <w:t xml:space="preserve">Seção 17.5</w:t>
            </w:r>
          </w:p>
        </w:tc>
      </w:tr>
    </w:tbl>
    <w:p>
      <w:pPr/>
      <w:r>
        <w:t xml:space="preserve">Fonte das teses do TCU: </w:t>
      </w:r>
      <w:hyperlink r:id="rId20" w:history="1">
        <w:r>
          <w:rPr>
            <w:rStyle w:val="Hyperlink"/>
          </w:rPr>
          <w:t xml:space="preserve">guia Licitações e Contratos do TCU, item 5.8</w:t>
        </w:r>
      </w:hyperlink>
      <w:r>
        <w:t xml:space="preserve"> e, para o Acórdão 1.466/2024, o Boletim de Jurisprudência do TCU nº 504 e o </w:t>
      </w:r>
      <w:hyperlink r:id="rId21" w:history="1">
        <w:r>
          <w:rPr>
            <w:rStyle w:val="Hyperlink"/>
          </w:rPr>
          <w:t xml:space="preserve">comentário de Justen, Pereira, Oliveira e Talamini</w:t>
        </w:r>
      </w:hyperlink>
      <w:r>
        <w:t xml:space="preserve">.</w:t>
      </w:r>
    </w:p>
    <w:p>
      <w:pPr>
        <w:pStyle w:val="Heading3"/>
      </w:pPr>
      <w:r>
        <w:t xml:space="preserve">18.3 Superior Tribunal de Justiça e Supremo Tribunal Federal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Decisão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Tese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Onde usar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STJ, MS 13.101/DF, 1ª Seção, 2008</w:t>
            </w:r>
          </w:p>
        </w:tc>
        <w:tc>
          <w:tcPr>
            <w:tcW w:w="3120" w:type="dxa"/>
          </w:tcPr>
          <w:p>
            <w:pPr/>
            <w:r>
              <w:t xml:space="preserve">A declaração de inidoneidade produz efeitos para o futuro e não atinge automaticamente contratos em curso</w:t>
            </w:r>
          </w:p>
        </w:tc>
        <w:tc>
          <w:tcPr>
            <w:tcW w:w="3120" w:type="dxa"/>
          </w:tcPr>
          <w:p>
            <w:pPr/>
            <w:r>
              <w:t xml:space="preserve">Seção 6.6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STF, Súmula Vinculante nº 5</w:t>
            </w:r>
          </w:p>
        </w:tc>
        <w:tc>
          <w:tcPr>
            <w:tcW w:w="3120" w:type="dxa"/>
          </w:tcPr>
          <w:p>
            <w:pPr/>
            <w:r>
              <w:t xml:space="preserve">A falta de defesa técnica por advogado no processo administrativo disciplinar não ofende a Constituição; aplicável por analogia</w:t>
            </w:r>
          </w:p>
        </w:tc>
        <w:tc>
          <w:tcPr>
            <w:tcW w:w="3120" w:type="dxa"/>
          </w:tcPr>
          <w:p>
            <w:pPr/>
            <w:r>
              <w:t xml:space="preserve">Seção 11.4</w:t>
            </w:r>
          </w:p>
        </w:tc>
      </w:tr>
    </w:tbl>
    <w:p>
      <w:pPr>
        <w:pStyle w:val="Heading3"/>
      </w:pPr>
      <w:r>
        <w:t xml:space="preserve">18.4 O TCE-RO também sanciona empresas</w:t>
      </w:r>
    </w:p>
    <w:p>
      <w:pPr/>
      <w:r>
        <w:t xml:space="preserve">Além de fiscalizar a SUGESP, o TCE-RO pode, com base em sua lei orgânica (LC estadual nº 154/1996), multar empresas e declará-las inidôneas por fraude comprovada, como no APL-TC 00147/25. Essa sanção é independente da aplicada pela Administração com base na Lei 14.133. Se o mesmo fato já tiver sido punido pelo TCE, a SUGESP deve considerá-lo na dosimetria (LINDB, art. 22, § 3º).</w:t>
      </w:r>
    </w:p>
    <w:p>
      <w:pPr>
        <w:pStyle w:val="Heading2"/>
      </w:pPr>
      <w:r>
        <w:t xml:space="preserve">19. Responsabilidade do agente público que deixa de apurar ou sancionar</w:t>
      </w:r>
    </w:p>
    <w:p>
      <w:pPr/>
      <w:r>
        <w:t xml:space="preserve">A omissão em apurar infração de contratado transfere o risco para o agente público. O TCE-RO já multou gestor por não aplicar multa contratual (APL-TC 00180/21) e já afastou a responsabilidade de quem não foi informado do fato (AC1-TC 00191/22). A diferença entre os dois casos é o registro: quem documenta e comunica no prazo se protege.</w:t>
      </w:r>
    </w:p>
    <w:p>
      <w:pPr>
        <w:pStyle w:val="Heading3"/>
      </w:pPr>
      <w:r>
        <w:t xml:space="preserve">19.1 Quem responde pelo quê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Agente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Omissão típica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Consequência possível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Fiscal</w:t>
            </w:r>
          </w:p>
        </w:tc>
        <w:tc>
          <w:tcPr>
            <w:tcW w:w="3120" w:type="dxa"/>
          </w:tcPr>
          <w:p>
            <w:pPr/>
            <w:r>
              <w:t xml:space="preserve">Não registrar a ocorrência ou não comunicar o gestor</w:t>
            </w:r>
          </w:p>
        </w:tc>
        <w:tc>
          <w:tcPr>
            <w:tcW w:w="3120" w:type="dxa"/>
          </w:tcPr>
          <w:p>
            <w:pPr/>
            <w:r>
              <w:t xml:space="preserve">Responsabilidade perante o TCE-RO e disciplinar; a autoridade que não soube do fato tende a ser eximida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Gestor do contrato</w:t>
            </w:r>
          </w:p>
        </w:tc>
        <w:tc>
          <w:tcPr>
            <w:tcW w:w="3120" w:type="dxa"/>
          </w:tcPr>
          <w:p>
            <w:pPr/>
            <w:r>
              <w:t xml:space="preserve">Receber a comunicação e não provocar a autoridade</w:t>
            </w:r>
          </w:p>
        </w:tc>
        <w:tc>
          <w:tcPr>
            <w:tcW w:w="3120" w:type="dxa"/>
          </w:tcPr>
          <w:p>
            <w:pPr/>
            <w:r>
              <w:t xml:space="preserve">Multa do TCE-RO por erro grosseiro; responsabilidade disciplinar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Agente de contratação ou pregoeiro</w:t>
            </w:r>
          </w:p>
        </w:tc>
        <w:tc>
          <w:tcPr>
            <w:tcW w:w="3120" w:type="dxa"/>
          </w:tcPr>
          <w:p>
            <w:pPr/>
            <w:r>
              <w:t xml:space="preserve">Não registrar em ata nem noticiar a conduta do licitante</w:t>
            </w:r>
          </w:p>
        </w:tc>
        <w:tc>
          <w:tcPr>
            <w:tcW w:w="3120" w:type="dxa"/>
          </w:tcPr>
          <w:p>
            <w:pPr/>
            <w:r>
              <w:t xml:space="preserve">Mesma lógica; o TCU considera a omissão contrária à lei (Acórdãos 2.146/2022 e 1.999/2019-Plenário)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Autoridade competente</w:t>
            </w:r>
          </w:p>
        </w:tc>
        <w:tc>
          <w:tcPr>
            <w:tcW w:w="3120" w:type="dxa"/>
          </w:tcPr>
          <w:p>
            <w:pPr/>
            <w:r>
              <w:t xml:space="preserve">Não instaurar, arquivar sem motivação ou deixar prescrever</w:t>
            </w:r>
          </w:p>
        </w:tc>
        <w:tc>
          <w:tcPr>
            <w:tcW w:w="3120" w:type="dxa"/>
          </w:tcPr>
          <w:p>
            <w:pPr/>
            <w:r>
              <w:t xml:space="preserve">Multa do TCE-RO, responsabilidade por prazos descumpridos e por superiores omissos (Lei 3.830, art. 83)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Comissão ou condutor</w:t>
            </w:r>
          </w:p>
        </w:tc>
        <w:tc>
          <w:tcPr>
            <w:tcW w:w="3120" w:type="dxa"/>
          </w:tcPr>
          <w:p>
            <w:pPr/>
            <w:r>
              <w:t xml:space="preserve">Deixar o processo parado ou violar o contraditório, gerando nulidade ou prescrição</w:t>
            </w:r>
          </w:p>
        </w:tc>
        <w:tc>
          <w:tcPr>
            <w:tcW w:w="3120" w:type="dxa"/>
          </w:tcPr>
          <w:p>
            <w:pPr/>
            <w:r>
              <w:t xml:space="preserve">Responsabilidade disciplinar e, se houver dano, ressarcimento</w:t>
            </w:r>
          </w:p>
        </w:tc>
      </w:tr>
    </w:tbl>
    <w:p>
      <w:pPr>
        <w:pStyle w:val="Heading3"/>
      </w:pPr>
      <w:r>
        <w:t xml:space="preserve">19.2 O filtro do erro grosseiro</w:t>
      </w:r>
    </w:p>
    <w:p>
      <w:pPr/>
      <w:r>
        <w:t xml:space="preserve">O agente público só responde pessoalmente por suas decisões ou opiniões técnicas em caso de dolo ou erro grosseiro (LINDB, art. 28). Na análise, os Tribunais consideram os obstáculos e dificuldades reais do gestor (LINDB, art. 22, § 1º), como fez o TCE-RO ao afastar a multa de engenheiro que demorou a analisar pedido da contratada na pandemia (AC1-TC 00834/21). Ignorar infração documentada e comunicada, sem justificativa, é o exemplo típico de erro grosseiro.</w:t>
      </w:r>
    </w:p>
    <w:p>
      <w:pPr>
        <w:pStyle w:val="Heading3"/>
      </w:pPr>
      <w:r>
        <w:t xml:space="preserve">19.3 Rescisão amigável e acordos não substituem a apuração</w:t>
      </w:r>
    </w:p>
    <w:p>
      <w:pPr/>
      <w:r>
        <w:t xml:space="preserve">Encerrar o contrato por acordo, sem apurar o descumprimento, exige motivação de que essa é a melhor solução para o interesse público (APL-TC 00111/25). Se a SUGESP optar por solução consensual, registre por que ela é melhor que a sanção, ouça a fiscalização e a Assessoria Jurídica e decida se a apuração prossegue. O Decreto 28.874/2024 não regula o termo de ajustamento de conduta. O art. 26 da LINDB admite compromisso para eliminar irregularidade, com oitiva jurídica prévia e publicação; só o use com parecer da PGE e sem renunciar a sanção já devida.</w:t>
      </w:r>
    </w:p>
    <w:p>
      <w:pPr>
        <w:pStyle w:val="Heading3"/>
      </w:pPr>
      <w:r>
        <w:t xml:space="preserve">19.4 Como o agente se protege</w:t>
      </w:r>
    </w:p>
    <w:p>
      <w:pPr>
        <w:pStyle w:val="ListParagraph"/>
        <w:numPr>
          <w:ilvl w:val="0"/>
          <w:numId w:val="32"/>
        </w:numPr>
      </w:pPr>
      <w:r>
        <w:t xml:space="preserve">☐ Registrar a ocorrência no SEI no dia em que tomou ciência, com prova.</w:t>
      </w:r>
    </w:p>
    <w:p>
      <w:pPr>
        <w:pStyle w:val="ListParagraph"/>
        <w:numPr>
          <w:ilvl w:val="0"/>
          <w:numId w:val="32"/>
        </w:numPr>
      </w:pPr>
      <w:r>
        <w:t xml:space="preserve">☐ Comunicar formalmente o superior e guardar o comprovante.</w:t>
      </w:r>
    </w:p>
    <w:p>
      <w:pPr>
        <w:pStyle w:val="ListParagraph"/>
        <w:numPr>
          <w:ilvl w:val="0"/>
          <w:numId w:val="32"/>
        </w:numPr>
      </w:pPr>
      <w:r>
        <w:t xml:space="preserve">☐ Cumprir os prazos deste manual ou registrar o motivo do atraso.</w:t>
      </w:r>
    </w:p>
    <w:p>
      <w:pPr>
        <w:pStyle w:val="ListParagraph"/>
        <w:numPr>
          <w:ilvl w:val="0"/>
          <w:numId w:val="32"/>
        </w:numPr>
      </w:pPr>
      <w:r>
        <w:t xml:space="preserve">☐ Decidir pelo arquivamento só com motivação escrita, apoiada em fatos e provas.</w:t>
      </w:r>
    </w:p>
    <w:p>
      <w:pPr>
        <w:pStyle w:val="ListParagraph"/>
        <w:numPr>
          <w:ilvl w:val="0"/>
          <w:numId w:val="32"/>
        </w:numPr>
      </w:pPr>
      <w:r>
        <w:t xml:space="preserve">☐ Declarar impedimento ou suspeição assim que identificar; a omissão é falta grave (Lei 3.830, art. 39, p.ú.).</w:t>
      </w:r>
    </w:p>
    <w:p>
      <w:pPr>
        <w:pStyle w:val="ListParagraph"/>
        <w:numPr>
          <w:ilvl w:val="0"/>
          <w:numId w:val="32"/>
        </w:numPr>
      </w:pPr>
      <w:r>
        <w:t xml:space="preserve">☐ Pedir manifestação jurídica nas hipóteses obrigatórias e nas dúvidas relevantes; decidir em confiança de parecer fundamentado é elemento contra a caracterização de erro grosseiro.</w:t>
      </w:r>
    </w:p>
    <w:p>
      <w:pPr>
        <w:pStyle w:val="Heading2"/>
      </w:pPr>
      <w:r>
        <w:t xml:space="preserve">20. Checklists operacionais por fase</w:t>
      </w:r>
    </w:p>
    <w:p>
      <w:pPr/>
      <w:r>
        <w:t xml:space="preserve">Cada item deve gerar um documento verificável no SEI. O processo só avança de fase quando todos os itens da fase anterior estiverem marcados ou anotados como "não se aplica", com o motivo.</w:t>
      </w:r>
    </w:p>
    <w:p>
      <w:pPr>
        <w:pStyle w:val="Heading3"/>
      </w:pPr>
      <w:r>
        <w:t xml:space="preserve">20.1 Notícia do fato (fiscal, gestor ou agente de contratação)</w:t>
      </w:r>
    </w:p>
    <w:p>
      <w:pPr>
        <w:pStyle w:val="ListParagraph"/>
        <w:numPr>
          <w:ilvl w:val="0"/>
          <w:numId w:val="33"/>
        </w:numPr>
      </w:pPr>
      <w:r>
        <w:t xml:space="preserve">☐ Data da primeira ciência do fato por agente da SUGESP registrada (documento SEI).</w:t>
      </w:r>
    </w:p>
    <w:p>
      <w:pPr>
        <w:pStyle w:val="ListParagraph"/>
        <w:numPr>
          <w:ilvl w:val="0"/>
          <w:numId w:val="33"/>
        </w:numPr>
      </w:pPr>
      <w:r>
        <w:t xml:space="preserve">☐ Fato descrito por data, local, item, quantidade e período.</w:t>
      </w:r>
    </w:p>
    <w:p>
      <w:pPr>
        <w:pStyle w:val="ListParagraph"/>
        <w:numPr>
          <w:ilvl w:val="0"/>
          <w:numId w:val="33"/>
        </w:numPr>
      </w:pPr>
      <w:r>
        <w:t xml:space="preserve">☐ Cláusula do edital, termo de referência ou contrato identificada.</w:t>
      </w:r>
    </w:p>
    <w:p>
      <w:pPr>
        <w:pStyle w:val="ListParagraph"/>
        <w:numPr>
          <w:ilvl w:val="0"/>
          <w:numId w:val="33"/>
        </w:numPr>
      </w:pPr>
      <w:r>
        <w:t xml:space="preserve">☐ Provas juntadas: relatórios, fotos, registros de sistema, notificações e respostas.</w:t>
      </w:r>
    </w:p>
    <w:p>
      <w:pPr>
        <w:pStyle w:val="ListParagraph"/>
        <w:numPr>
          <w:ilvl w:val="0"/>
          <w:numId w:val="33"/>
        </w:numPr>
      </w:pPr>
      <w:r>
        <w:t xml:space="preserve">☐ Notificações prévias com comprovante de recebimento e certidão do decurso do prazo.</w:t>
      </w:r>
    </w:p>
    <w:p>
      <w:pPr>
        <w:pStyle w:val="ListParagraph"/>
        <w:numPr>
          <w:ilvl w:val="0"/>
          <w:numId w:val="33"/>
        </w:numPr>
      </w:pPr>
      <w:r>
        <w:t xml:space="preserve">☐ Prejuízo efetivo ou potencial descrito.</w:t>
      </w:r>
    </w:p>
    <w:p>
      <w:pPr>
        <w:pStyle w:val="ListParagraph"/>
        <w:numPr>
          <w:ilvl w:val="0"/>
          <w:numId w:val="33"/>
        </w:numPr>
      </w:pPr>
      <w:r>
        <w:t xml:space="preserve">☐ Representação (modelo 21.10) com proposta de enquadramento e sanção em tese, enviada ao gestor pelo SEI.</w:t>
      </w:r>
    </w:p>
    <w:p>
      <w:pPr>
        <w:pStyle w:val="ListParagraph"/>
        <w:numPr>
          <w:ilvl w:val="0"/>
          <w:numId w:val="33"/>
        </w:numPr>
      </w:pPr>
      <w:r>
        <w:t xml:space="preserve">☐ Falha corrigida no prazo: aplicados os gatilhos da seção 9.2 e registrada a decisão.</w:t>
      </w:r>
    </w:p>
    <w:p>
      <w:pPr>
        <w:pStyle w:val="ListParagraph"/>
        <w:numPr>
          <w:ilvl w:val="0"/>
          <w:numId w:val="33"/>
        </w:numPr>
      </w:pPr>
      <w:r>
        <w:t xml:space="preserve">☐ Vários postos ou fiscais: registros dos fiscais setoriais consolidados na matriz pelo fiscal titular.</w:t>
      </w:r>
    </w:p>
    <w:p>
      <w:pPr>
        <w:pStyle w:val="ListParagraph"/>
        <w:numPr>
          <w:ilvl w:val="0"/>
          <w:numId w:val="33"/>
        </w:numPr>
      </w:pPr>
      <w:r>
        <w:t xml:space="preserve">☐ Fase de licitação: ata com o prazo concedido, a justificativa do licitante e a diligência feita, se a falha era sanável.</w:t>
      </w:r>
    </w:p>
    <w:p>
      <w:pPr>
        <w:pStyle w:val="Heading3"/>
      </w:pPr>
      <w:r>
        <w:t xml:space="preserve">20.2 Antes de abrir (GCONV e quem abre o processo)</w:t>
      </w:r>
    </w:p>
    <w:p>
      <w:pPr>
        <w:pStyle w:val="ListParagraph"/>
        <w:numPr>
          <w:ilvl w:val="0"/>
          <w:numId w:val="34"/>
        </w:numPr>
      </w:pPr>
      <w:r>
        <w:t xml:space="preserve">☐ Regime legal do contrato confirmado (Lei 14.133 ou lei antiga).</w:t>
      </w:r>
    </w:p>
    <w:p>
      <w:pPr>
        <w:pStyle w:val="ListParagraph"/>
        <w:numPr>
          <w:ilvl w:val="0"/>
          <w:numId w:val="34"/>
        </w:numPr>
      </w:pPr>
      <w:r>
        <w:t xml:space="preserve">☐ Teste do PAR feito (seção 17.1); se positivo, autos remetidos à CGE.</w:t>
      </w:r>
    </w:p>
    <w:p>
      <w:pPr>
        <w:pStyle w:val="ListParagraph"/>
        <w:numPr>
          <w:ilvl w:val="0"/>
          <w:numId w:val="34"/>
        </w:numPr>
      </w:pPr>
      <w:r>
        <w:t xml:space="preserve">☐ Prazo prescricional calculado a partir da primeira ciência.</w:t>
      </w:r>
    </w:p>
    <w:p>
      <w:pPr>
        <w:pStyle w:val="ListParagraph"/>
        <w:numPr>
          <w:ilvl w:val="0"/>
          <w:numId w:val="34"/>
        </w:numPr>
      </w:pPr>
      <w:r>
        <w:t xml:space="preserve">☐ Matriz no formato do modelo 21.10, com todas as colunas preenchidas para cada ocorrência.</w:t>
      </w:r>
    </w:p>
    <w:p>
      <w:pPr>
        <w:pStyle w:val="ListParagraph"/>
        <w:numPr>
          <w:ilvl w:val="0"/>
          <w:numId w:val="34"/>
        </w:numPr>
      </w:pPr>
      <w:r>
        <w:t xml:space="preserve">☐ Proposta e planilha de custos da contratada juntadas.</w:t>
      </w:r>
    </w:p>
    <w:p>
      <w:pPr>
        <w:pStyle w:val="ListParagraph"/>
        <w:numPr>
          <w:ilvl w:val="0"/>
          <w:numId w:val="34"/>
        </w:numPr>
      </w:pPr>
      <w:r>
        <w:t xml:space="preserve">☐ Memória de recomposição separada da memória de multa, com conferência de 0,5%, 5% e 30%.</w:t>
      </w:r>
    </w:p>
    <w:p>
      <w:pPr>
        <w:pStyle w:val="ListParagraph"/>
        <w:numPr>
          <w:ilvl w:val="0"/>
          <w:numId w:val="34"/>
        </w:numPr>
      </w:pPr>
      <w:r>
        <w:t xml:space="preserve">☐ Histórico de sanções da empresa consultado (Ceis, Cnep, cadastro estadual, TCE-RO, processos da SUGESP).</w:t>
      </w:r>
    </w:p>
    <w:p>
      <w:pPr>
        <w:pStyle w:val="ListParagraph"/>
        <w:numPr>
          <w:ilvl w:val="0"/>
          <w:numId w:val="34"/>
        </w:numPr>
      </w:pPr>
      <w:r>
        <w:t xml:space="preserve">☐ Situação cadastral consultada (CNPJ ativo, recuperação judicial, falência) e endereços atualizados (contrato e Receita Federal).</w:t>
      </w:r>
    </w:p>
    <w:p>
      <w:pPr>
        <w:pStyle w:val="ListParagraph"/>
        <w:numPr>
          <w:ilvl w:val="0"/>
          <w:numId w:val="34"/>
        </w:numPr>
      </w:pPr>
      <w:r>
        <w:t xml:space="preserve">☐ Garantia conferida: modalidade, emissor, vigência e valor.</w:t>
      </w:r>
    </w:p>
    <w:p>
      <w:pPr>
        <w:pStyle w:val="ListParagraph"/>
        <w:numPr>
          <w:ilvl w:val="0"/>
          <w:numId w:val="34"/>
        </w:numPr>
      </w:pPr>
      <w:r>
        <w:t xml:space="preserve">☐ Outros contratos da empresa na SUGESP e prorrogações em andamento verificados.</w:t>
      </w:r>
    </w:p>
    <w:p>
      <w:pPr>
        <w:pStyle w:val="Heading3"/>
      </w:pPr>
      <w:r>
        <w:t xml:space="preserve">20.3 Abertura</w:t>
      </w:r>
    </w:p>
    <w:p>
      <w:pPr>
        <w:pStyle w:val="ListParagraph"/>
        <w:numPr>
          <w:ilvl w:val="0"/>
          <w:numId w:val="35"/>
        </w:numPr>
      </w:pPr>
      <w:r>
        <w:t xml:space="preserve">☐ Ato único com fatos, enquadramento, data da ciência, prescrição estimada, rito e justificativa (modelo 21.2 ou 21.3), ou despacho de arquivamento (modelo 21.11).</w:t>
      </w:r>
    </w:p>
    <w:p>
      <w:pPr>
        <w:pStyle w:val="ListParagraph"/>
        <w:numPr>
          <w:ilvl w:val="0"/>
          <w:numId w:val="35"/>
        </w:numPr>
      </w:pPr>
      <w:r>
        <w:t xml:space="preserve">☐ Ato assinado por quem tem competência (seção 3.2), com o fundamento citado.</w:t>
      </w:r>
    </w:p>
    <w:p>
      <w:pPr>
        <w:pStyle w:val="ListParagraph"/>
        <w:numPr>
          <w:ilvl w:val="0"/>
          <w:numId w:val="35"/>
        </w:numPr>
      </w:pPr>
      <w:r>
        <w:t xml:space="preserve">☐ Comissão: 2 ou mais servidores estáveis, com estabilidade comprovada pela ficha funcional e sem atuação no fato.</w:t>
      </w:r>
    </w:p>
    <w:p>
      <w:pPr>
        <w:pStyle w:val="ListParagraph"/>
        <w:numPr>
          <w:ilvl w:val="0"/>
          <w:numId w:val="35"/>
        </w:numPr>
      </w:pPr>
      <w:r>
        <w:t xml:space="preserve">☐ Declaração de ausência de impedimento e suspeição de cada condutor ou membro (modelo 21.13).</w:t>
      </w:r>
    </w:p>
    <w:p>
      <w:pPr>
        <w:pStyle w:val="ListParagraph"/>
        <w:numPr>
          <w:ilvl w:val="0"/>
          <w:numId w:val="35"/>
        </w:numPr>
      </w:pPr>
      <w:r>
        <w:t xml:space="preserve">☐ Prazo de conclusão fixado em dias corridos.</w:t>
      </w:r>
    </w:p>
    <w:p>
      <w:pPr>
        <w:pStyle w:val="ListParagraph"/>
        <w:numPr>
          <w:ilvl w:val="0"/>
          <w:numId w:val="35"/>
        </w:numPr>
      </w:pPr>
      <w:r>
        <w:t xml:space="preserve">☐ Extrato da portaria publicado no DOE em até 2 dias úteis (comissão).</w:t>
      </w:r>
    </w:p>
    <w:p>
      <w:pPr>
        <w:pStyle w:val="ListParagraph"/>
        <w:numPr>
          <w:ilvl w:val="0"/>
          <w:numId w:val="35"/>
        </w:numPr>
      </w:pPr>
      <w:r>
        <w:t xml:space="preserve">☐ Emissor da garantia notificado no mesmo dia da abertura (modelo 21.12).</w:t>
      </w:r>
    </w:p>
    <w:p>
      <w:pPr>
        <w:pStyle w:val="Heading3"/>
      </w:pPr>
      <w:r>
        <w:t xml:space="preserve">20.4 Intimação e defesa</w:t>
      </w:r>
    </w:p>
    <w:p>
      <w:pPr>
        <w:pStyle w:val="ListParagraph"/>
        <w:numPr>
          <w:ilvl w:val="0"/>
          <w:numId w:val="36"/>
        </w:numPr>
      </w:pPr>
      <w:r>
        <w:t xml:space="preserve">☐ Intimação com todos os elementos da seção 11.1.</w:t>
      </w:r>
    </w:p>
    <w:p>
      <w:pPr>
        <w:pStyle w:val="ListParagraph"/>
        <w:numPr>
          <w:ilvl w:val="0"/>
          <w:numId w:val="36"/>
        </w:numPr>
      </w:pPr>
      <w:r>
        <w:t xml:space="preserve">☐ Acesso integral aos autos garantido e certificado.</w:t>
      </w:r>
    </w:p>
    <w:p>
      <w:pPr>
        <w:pStyle w:val="ListParagraph"/>
        <w:numPr>
          <w:ilvl w:val="0"/>
          <w:numId w:val="36"/>
        </w:numPr>
      </w:pPr>
      <w:r>
        <w:t xml:space="preserve">☐ Advogado intimado, se constituído (nome e OAB).</w:t>
      </w:r>
    </w:p>
    <w:p>
      <w:pPr>
        <w:pStyle w:val="ListParagraph"/>
        <w:numPr>
          <w:ilvl w:val="0"/>
          <w:numId w:val="36"/>
        </w:numPr>
      </w:pPr>
      <w:r>
        <w:t xml:space="preserve">☐ Tentativas anteriores ao edital certificadas (e-mail, AR no endereço do contrato e no da Receita Federal).</w:t>
      </w:r>
    </w:p>
    <w:p>
      <w:pPr>
        <w:pStyle w:val="ListParagraph"/>
        <w:numPr>
          <w:ilvl w:val="0"/>
          <w:numId w:val="36"/>
        </w:numPr>
      </w:pPr>
      <w:r>
        <w:t xml:space="preserve">☐ Certidão com dia do começo e vencimento do prazo (modelo 21.14).</w:t>
      </w:r>
    </w:p>
    <w:p>
      <w:pPr>
        <w:pStyle w:val="ListParagraph"/>
        <w:numPr>
          <w:ilvl w:val="0"/>
          <w:numId w:val="36"/>
        </w:numPr>
      </w:pPr>
      <w:r>
        <w:t xml:space="preserve">☐ Defesa juntada, inclusive a intempestiva recebida antes da decisão, ou certidão de decurso sem manifestação.</w:t>
      </w:r>
    </w:p>
    <w:p>
      <w:pPr>
        <w:pStyle w:val="Heading3"/>
      </w:pPr>
      <w:r>
        <w:t xml:space="preserve">20.5 Instrução</w:t>
      </w:r>
    </w:p>
    <w:p>
      <w:pPr>
        <w:pStyle w:val="ListParagraph"/>
        <w:numPr>
          <w:ilvl w:val="0"/>
          <w:numId w:val="37"/>
        </w:numPr>
      </w:pPr>
      <w:r>
        <w:t xml:space="preserve">☐ Decisão fundamentada sobre cada prova requerida, intimada à empresa.</w:t>
      </w:r>
    </w:p>
    <w:p>
      <w:pPr>
        <w:pStyle w:val="ListParagraph"/>
        <w:numPr>
          <w:ilvl w:val="0"/>
          <w:numId w:val="37"/>
        </w:numPr>
      </w:pPr>
      <w:r>
        <w:t xml:space="preserve">☐ Diligências realizadas com intimação prévia de 3 dias úteis, com data, hora e local.</w:t>
      </w:r>
    </w:p>
    <w:p>
      <w:pPr>
        <w:pStyle w:val="ListParagraph"/>
        <w:numPr>
          <w:ilvl w:val="0"/>
          <w:numId w:val="37"/>
        </w:numPr>
      </w:pPr>
      <w:r>
        <w:t xml:space="preserve">☐ Prova emprestada submetida a contraditório específico.</w:t>
      </w:r>
    </w:p>
    <w:p>
      <w:pPr>
        <w:pStyle w:val="ListParagraph"/>
        <w:numPr>
          <w:ilvl w:val="0"/>
          <w:numId w:val="37"/>
        </w:numPr>
      </w:pPr>
      <w:r>
        <w:t xml:space="preserve">☐ Fato mais grave surgido: conversão feita antes de qualquer decisão (modelo 21.16), ou remessa à CGE se for ato lesivo.</w:t>
      </w:r>
    </w:p>
    <w:p>
      <w:pPr>
        <w:pStyle w:val="ListParagraph"/>
        <w:numPr>
          <w:ilvl w:val="0"/>
          <w:numId w:val="37"/>
        </w:numPr>
      </w:pPr>
      <w:r>
        <w:t xml:space="preserve">☐ Instrução encerrada e empresa intimada para manifestação final, haja ou não prova nova: 10 dias úteis no rito simplificado, 15 na comissão (modelo 21.15).</w:t>
      </w:r>
    </w:p>
    <w:p>
      <w:pPr>
        <w:pStyle w:val="Heading3"/>
      </w:pPr>
      <w:r>
        <w:t xml:space="preserve">20.6 Relatório e decisão</w:t>
      </w:r>
    </w:p>
    <w:p>
      <w:pPr>
        <w:pStyle w:val="ListParagraph"/>
        <w:numPr>
          <w:ilvl w:val="0"/>
          <w:numId w:val="38"/>
        </w:numPr>
      </w:pPr>
      <w:r>
        <w:t xml:space="preserve">☐ Relatório assinado por quem não decide, com um tópico numerado para cada argumento da defesa.</w:t>
      </w:r>
    </w:p>
    <w:p>
      <w:pPr>
        <w:pStyle w:val="ListParagraph"/>
        <w:numPr>
          <w:ilvl w:val="0"/>
          <w:numId w:val="38"/>
        </w:numPr>
      </w:pPr>
      <w:r>
        <w:t xml:space="preserve">☐ Cada conclusão do relatório indica o documento SEI que a sustenta.</w:t>
      </w:r>
    </w:p>
    <w:p>
      <w:pPr>
        <w:pStyle w:val="ListParagraph"/>
        <w:numPr>
          <w:ilvl w:val="0"/>
          <w:numId w:val="38"/>
        </w:numPr>
      </w:pPr>
      <w:r>
        <w:t xml:space="preserve">☐ Dosimetria por critério do art. 156, § 1º, com cálculo; nenhuma agravante repete elemento do tipo (seção 7.4).</w:t>
      </w:r>
    </w:p>
    <w:p>
      <w:pPr>
        <w:pStyle w:val="ListParagraph"/>
        <w:numPr>
          <w:ilvl w:val="0"/>
          <w:numId w:val="38"/>
        </w:numPr>
      </w:pPr>
      <w:r>
        <w:t xml:space="preserve">☐ Limites legais e de competência conferidos (0,5%, 5%, 30%, 3 anos, 3 a 6 anos).</w:t>
      </w:r>
    </w:p>
    <w:p>
      <w:pPr>
        <w:pStyle w:val="ListParagraph"/>
        <w:numPr>
          <w:ilvl w:val="0"/>
          <w:numId w:val="38"/>
        </w:numPr>
      </w:pPr>
      <w:r>
        <w:t xml:space="preserve">☐ Condições de reabilitação fixadas (impedimento e inidoneidade).</w:t>
      </w:r>
    </w:p>
    <w:p>
      <w:pPr>
        <w:pStyle w:val="ListParagraph"/>
        <w:numPr>
          <w:ilvl w:val="0"/>
          <w:numId w:val="38"/>
        </w:numPr>
      </w:pPr>
      <w:r>
        <w:t xml:space="preserve">☐ Parecer jurídico juntado nas hipóteses obrigatórias.</w:t>
      </w:r>
    </w:p>
    <w:p>
      <w:pPr>
        <w:pStyle w:val="ListParagraph"/>
        <w:numPr>
          <w:ilvl w:val="0"/>
          <w:numId w:val="38"/>
        </w:numPr>
      </w:pPr>
      <w:r>
        <w:t xml:space="preserve">☐ Inidoneidade: parecer da PGE, juízo do Superintendente e remessa à autoridade competente (modelo 21.22).</w:t>
      </w:r>
    </w:p>
    <w:p>
      <w:pPr>
        <w:pStyle w:val="ListParagraph"/>
        <w:numPr>
          <w:ilvl w:val="0"/>
          <w:numId w:val="38"/>
        </w:numPr>
      </w:pPr>
      <w:r>
        <w:t xml:space="preserve">☐ Consequências práticas consideradas (LINDB, art. 20).</w:t>
      </w:r>
    </w:p>
    <w:p>
      <w:pPr>
        <w:pStyle w:val="ListParagraph"/>
        <w:numPr>
          <w:ilvl w:val="0"/>
          <w:numId w:val="38"/>
        </w:numPr>
      </w:pPr>
      <w:r>
        <w:t xml:space="preserve">☐ Decisão em até 30 dias do fim da instrução, ou prorrogação motivada nos autos, assinada pela autoridade competente e com indicação do recurso cabível.</w:t>
      </w:r>
    </w:p>
    <w:p>
      <w:pPr>
        <w:pStyle w:val="Heading3"/>
      </w:pPr>
      <w:r>
        <w:t xml:space="preserve">20.7 Recurso, execução e registro</w:t>
      </w:r>
    </w:p>
    <w:p>
      <w:pPr>
        <w:pStyle w:val="ListParagraph"/>
        <w:numPr>
          <w:ilvl w:val="0"/>
          <w:numId w:val="39"/>
        </w:numPr>
      </w:pPr>
      <w:r>
        <w:t xml:space="preserve">☐ Intimação da decisão com prazo de 15 dias úteis para recurso ou reconsideração e aviso sobre sustentação oral (modelo 21.18).</w:t>
      </w:r>
    </w:p>
    <w:p>
      <w:pPr>
        <w:pStyle w:val="ListParagraph"/>
        <w:numPr>
          <w:ilvl w:val="0"/>
          <w:numId w:val="39"/>
        </w:numPr>
      </w:pPr>
      <w:r>
        <w:t xml:space="preserve">☐ Juízo de reconsideração motivado em até 5 dias úteis (modelo 21.19); decisão superior em 20 dias úteis.</w:t>
      </w:r>
    </w:p>
    <w:p>
      <w:pPr>
        <w:pStyle w:val="ListParagraph"/>
        <w:numPr>
          <w:ilvl w:val="0"/>
          <w:numId w:val="39"/>
        </w:numPr>
      </w:pPr>
      <w:r>
        <w:t xml:space="preserve">☐ Sustentação oral, se requerida: data designada e ata juntada.</w:t>
      </w:r>
    </w:p>
    <w:p>
      <w:pPr>
        <w:pStyle w:val="ListParagraph"/>
        <w:numPr>
          <w:ilvl w:val="0"/>
          <w:numId w:val="39"/>
        </w:numPr>
      </w:pPr>
      <w:r>
        <w:t xml:space="preserve">☐ Certidão de definitividade lavrada (modelo 21.8).</w:t>
      </w:r>
    </w:p>
    <w:p>
      <w:pPr>
        <w:pStyle w:val="ListParagraph"/>
        <w:numPr>
          <w:ilvl w:val="0"/>
          <w:numId w:val="39"/>
        </w:numPr>
      </w:pPr>
      <w:r>
        <w:t xml:space="preserve">☐ Multa cobrada: desconto, garantia, guia ou remessa à PGE; decisão comunicada ao garantidor.</w:t>
      </w:r>
    </w:p>
    <w:p>
      <w:pPr>
        <w:pStyle w:val="ListParagraph"/>
        <w:numPr>
          <w:ilvl w:val="0"/>
          <w:numId w:val="39"/>
        </w:numPr>
      </w:pPr>
      <w:r>
        <w:t xml:space="preserve">☐ Ofício à CGE no dia da certidão (modelo 21.21); extrato publicado no DOE, sem dados pessoais desnecessários.</w:t>
      </w:r>
    </w:p>
    <w:p>
      <w:pPr>
        <w:pStyle w:val="ListParagraph"/>
        <w:numPr>
          <w:ilvl w:val="0"/>
          <w:numId w:val="39"/>
        </w:numPr>
      </w:pPr>
      <w:r>
        <w:t xml:space="preserve">☐ Gestores dos outros contratos com a empresa avisados (modelo 21.25).</w:t>
      </w:r>
    </w:p>
    <w:p>
      <w:pPr>
        <w:pStyle w:val="ListParagraph"/>
        <w:numPr>
          <w:ilvl w:val="0"/>
          <w:numId w:val="39"/>
        </w:numPr>
      </w:pPr>
      <w:r>
        <w:t xml:space="preserve">☐ Comunicações externas feitas (MP, CADE, CEAP), com número do ofício.</w:t>
      </w:r>
    </w:p>
    <w:p>
      <w:pPr>
        <w:pStyle w:val="ListParagraph"/>
        <w:numPr>
          <w:ilvl w:val="0"/>
          <w:numId w:val="39"/>
        </w:numPr>
      </w:pPr>
      <w:r>
        <w:t xml:space="preserve">☐ Registro na avaliação de desempenho; início e fim da sanção restritiva lançados no controle da GCONV.</w:t>
      </w:r>
    </w:p>
    <w:p>
      <w:pPr>
        <w:pStyle w:val="ListParagraph"/>
        <w:numPr>
          <w:ilvl w:val="0"/>
          <w:numId w:val="39"/>
        </w:numPr>
      </w:pPr>
      <w:r>
        <w:t xml:space="preserve">☐ Quitação registrada e processo arquivado com certidão final.</w:t>
      </w:r>
    </w:p>
    <w:p>
      <w:pPr>
        <w:pStyle w:val="Heading2"/>
      </w:pPr>
      <w:r>
        <w:t xml:space="preserve">21. Modelos de atos</w:t>
      </w:r>
    </w:p>
    <w:p>
      <w:pPr/>
      <w:r>
        <w:t xml:space="preserve">Os modelos são pontos de partida para o SEI. Campos entre colchetes devem ser preenchidos; trechos que não se aplicam ao caso devem ser apagados, não deixados em branco. A tabela mostra qual modelo usar em cada momento.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  <w:shd w:val="clear" w:color="auto" w:fill="F2F2F2"/>
          </w:tcPr>
          <w:p>
            <w:pPr/>
            <w:r>
              <w:t xml:space="preserve">Momento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Rito simplificado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Comissão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Quem assina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Correção da falha</w:t>
            </w:r>
          </w:p>
        </w:tc>
        <w:tc>
          <w:tcPr>
            <w:tcW w:w="2340" w:type="dxa"/>
          </w:tcPr>
          <w:p>
            <w:pPr/>
            <w:r>
              <w:t xml:space="preserve">21.1</w:t>
            </w:r>
          </w:p>
        </w:tc>
        <w:tc>
          <w:tcPr>
            <w:tcW w:w="2340" w:type="dxa"/>
          </w:tcPr>
          <w:p>
            <w:pPr/>
            <w:r>
              <w:t xml:space="preserve">21.1</w:t>
            </w:r>
          </w:p>
        </w:tc>
        <w:tc>
          <w:tcPr>
            <w:tcW w:w="2340" w:type="dxa"/>
          </w:tcPr>
          <w:p>
            <w:pPr/>
            <w:r>
              <w:t xml:space="preserve">Fiscal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Representação, matriz e memória</w:t>
            </w:r>
          </w:p>
        </w:tc>
        <w:tc>
          <w:tcPr>
            <w:tcW w:w="2340" w:type="dxa"/>
          </w:tcPr>
          <w:p>
            <w:pPr/>
            <w:r>
              <w:t xml:space="preserve">21.10</w:t>
            </w:r>
          </w:p>
        </w:tc>
        <w:tc>
          <w:tcPr>
            <w:tcW w:w="2340" w:type="dxa"/>
          </w:tcPr>
          <w:p>
            <w:pPr/>
            <w:r>
              <w:t xml:space="preserve">21.10</w:t>
            </w:r>
          </w:p>
        </w:tc>
        <w:tc>
          <w:tcPr>
            <w:tcW w:w="2340" w:type="dxa"/>
          </w:tcPr>
          <w:p>
            <w:pPr/>
            <w:r>
              <w:t xml:space="preserve">Fiscal; o gestor encaminha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Abertura</w:t>
            </w:r>
          </w:p>
        </w:tc>
        <w:tc>
          <w:tcPr>
            <w:tcW w:w="2340" w:type="dxa"/>
          </w:tcPr>
          <w:p>
            <w:pPr/>
            <w:r>
              <w:t xml:space="preserve">21.2 (ou 21.11, arquivamento)</w:t>
            </w:r>
          </w:p>
        </w:tc>
        <w:tc>
          <w:tcPr>
            <w:tcW w:w="2340" w:type="dxa"/>
          </w:tcPr>
          <w:p>
            <w:pPr/>
            <w:r>
              <w:t xml:space="preserve">21.3 e 21.13 (ou 21.11)</w:t>
            </w:r>
          </w:p>
        </w:tc>
        <w:tc>
          <w:tcPr>
            <w:tcW w:w="2340" w:type="dxa"/>
          </w:tcPr>
          <w:p>
            <w:pPr/>
            <w:r>
              <w:t xml:space="preserve">Quem vai decidir; Superintendente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Ato lesivo da Lei 12.846</w:t>
            </w:r>
          </w:p>
        </w:tc>
        <w:tc>
          <w:tcPr>
            <w:tcW w:w="2340" w:type="dxa"/>
          </w:tcPr>
          <w:p>
            <w:pPr/>
            <w:r>
              <w:t xml:space="preserve">21.20</w:t>
            </w:r>
          </w:p>
        </w:tc>
        <w:tc>
          <w:tcPr>
            <w:tcW w:w="2340" w:type="dxa"/>
          </w:tcPr>
          <w:p>
            <w:pPr/>
            <w:r>
              <w:t xml:space="preserve">21.20</w:t>
            </w:r>
          </w:p>
        </w:tc>
        <w:tc>
          <w:tcPr>
            <w:tcW w:w="2340" w:type="dxa"/>
          </w:tcPr>
          <w:p>
            <w:pPr/>
            <w:r>
              <w:t xml:space="preserve">Superintendente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Garantia</w:t>
            </w:r>
          </w:p>
        </w:tc>
        <w:tc>
          <w:tcPr>
            <w:tcW w:w="2340" w:type="dxa"/>
          </w:tcPr>
          <w:p>
            <w:pPr/>
            <w:r>
              <w:t xml:space="preserve">21.12</w:t>
            </w:r>
          </w:p>
        </w:tc>
        <w:tc>
          <w:tcPr>
            <w:tcW w:w="2340" w:type="dxa"/>
          </w:tcPr>
          <w:p>
            <w:pPr/>
            <w:r>
              <w:t xml:space="preserve">21.12</w:t>
            </w:r>
          </w:p>
        </w:tc>
        <w:tc>
          <w:tcPr>
            <w:tcW w:w="2340" w:type="dxa"/>
          </w:tcPr>
          <w:p>
            <w:pPr/>
            <w:r>
              <w:t xml:space="preserve">GCONV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Defesa</w:t>
            </w:r>
          </w:p>
        </w:tc>
        <w:tc>
          <w:tcPr>
            <w:tcW w:w="2340" w:type="dxa"/>
          </w:tcPr>
          <w:p>
            <w:pPr/>
            <w:r>
              <w:t xml:space="preserve">21.4 e 21.14</w:t>
            </w:r>
          </w:p>
        </w:tc>
        <w:tc>
          <w:tcPr>
            <w:tcW w:w="2340" w:type="dxa"/>
          </w:tcPr>
          <w:p>
            <w:pPr/>
            <w:r>
              <w:t xml:space="preserve">21.4 e 21.14</w:t>
            </w:r>
          </w:p>
        </w:tc>
        <w:tc>
          <w:tcPr>
            <w:tcW w:w="2340" w:type="dxa"/>
          </w:tcPr>
          <w:p>
            <w:pPr/>
            <w:r>
              <w:t xml:space="preserve">Condutor ou comissão; GCONV certifica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Intimação por edital</w:t>
            </w:r>
          </w:p>
        </w:tc>
        <w:tc>
          <w:tcPr>
            <w:tcW w:w="2340" w:type="dxa"/>
          </w:tcPr>
          <w:p>
            <w:pPr/>
            <w:r>
              <w:t xml:space="preserve">21.23</w:t>
            </w:r>
          </w:p>
        </w:tc>
        <w:tc>
          <w:tcPr>
            <w:tcW w:w="2340" w:type="dxa"/>
          </w:tcPr>
          <w:p>
            <w:pPr/>
            <w:r>
              <w:t xml:space="preserve">21.23</w:t>
            </w:r>
          </w:p>
        </w:tc>
        <w:tc>
          <w:tcPr>
            <w:tcW w:w="2340" w:type="dxa"/>
          </w:tcPr>
          <w:p>
            <w:pPr/>
            <w:r>
              <w:t xml:space="preserve">Autoridade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Provas</w:t>
            </w:r>
          </w:p>
        </w:tc>
        <w:tc>
          <w:tcPr>
            <w:tcW w:w="2340" w:type="dxa"/>
          </w:tcPr>
          <w:p>
            <w:pPr/>
            <w:r>
              <w:t xml:space="preserve">21.5</w:t>
            </w:r>
          </w:p>
        </w:tc>
        <w:tc>
          <w:tcPr>
            <w:tcW w:w="2340" w:type="dxa"/>
          </w:tcPr>
          <w:p>
            <w:pPr/>
            <w:r>
              <w:t xml:space="preserve">21.5</w:t>
            </w:r>
          </w:p>
        </w:tc>
        <w:tc>
          <w:tcPr>
            <w:tcW w:w="2340" w:type="dxa"/>
          </w:tcPr>
          <w:p>
            <w:pPr/>
            <w:r>
              <w:t xml:space="preserve">Condutor ou presidente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Diligência sobre documento</w:t>
            </w:r>
          </w:p>
        </w:tc>
        <w:tc>
          <w:tcPr>
            <w:tcW w:w="2340" w:type="dxa"/>
          </w:tcPr>
          <w:p>
            <w:pPr/>
            <w:r>
              <w:t xml:space="preserve">21.24</w:t>
            </w:r>
          </w:p>
        </w:tc>
        <w:tc>
          <w:tcPr>
            <w:tcW w:w="2340" w:type="dxa"/>
          </w:tcPr>
          <w:p>
            <w:pPr/>
            <w:r>
              <w:t xml:space="preserve">21.24</w:t>
            </w:r>
          </w:p>
        </w:tc>
        <w:tc>
          <w:tcPr>
            <w:tcW w:w="2340" w:type="dxa"/>
          </w:tcPr>
          <w:p>
            <w:pPr/>
            <w:r>
              <w:t xml:space="preserve">Agente de contratação, GCOM ou fiscal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Conversão de rito</w:t>
            </w:r>
          </w:p>
        </w:tc>
        <w:tc>
          <w:tcPr>
            <w:tcW w:w="2340" w:type="dxa"/>
          </w:tcPr>
          <w:p>
            <w:pPr/>
            <w:r>
              <w:t xml:space="preserve">21.16</w:t>
            </w:r>
          </w:p>
        </w:tc>
        <w:tc>
          <w:tcPr>
            <w:tcW w:w="2340" w:type="dxa"/>
          </w:tcPr>
          <w:p>
            <w:pPr/>
            <w:r>
              <w:t xml:space="preserve">—</w:t>
            </w:r>
          </w:p>
        </w:tc>
        <w:tc>
          <w:tcPr>
            <w:tcW w:w="2340" w:type="dxa"/>
          </w:tcPr>
          <w:p>
            <w:pPr/>
            <w:r>
              <w:t xml:space="preserve">Condutor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Manifestação final</w:t>
            </w:r>
          </w:p>
        </w:tc>
        <w:tc>
          <w:tcPr>
            <w:tcW w:w="2340" w:type="dxa"/>
          </w:tcPr>
          <w:p>
            <w:pPr/>
            <w:r>
              <w:t xml:space="preserve">21.15</w:t>
            </w:r>
          </w:p>
        </w:tc>
        <w:tc>
          <w:tcPr>
            <w:tcW w:w="2340" w:type="dxa"/>
          </w:tcPr>
          <w:p>
            <w:pPr/>
            <w:r>
              <w:t xml:space="preserve">21.15</w:t>
            </w:r>
          </w:p>
        </w:tc>
        <w:tc>
          <w:tcPr>
            <w:tcW w:w="2340" w:type="dxa"/>
          </w:tcPr>
          <w:p>
            <w:pPr/>
            <w:r>
              <w:t xml:space="preserve">Condutor ou presidente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Relatório</w:t>
            </w:r>
          </w:p>
        </w:tc>
        <w:tc>
          <w:tcPr>
            <w:tcW w:w="2340" w:type="dxa"/>
          </w:tcPr>
          <w:p>
            <w:pPr/>
            <w:r>
              <w:t xml:space="preserve">21.6, resumido</w:t>
            </w:r>
          </w:p>
        </w:tc>
        <w:tc>
          <w:tcPr>
            <w:tcW w:w="2340" w:type="dxa"/>
          </w:tcPr>
          <w:p>
            <w:pPr/>
            <w:r>
              <w:t xml:space="preserve">21.6</w:t>
            </w:r>
          </w:p>
        </w:tc>
        <w:tc>
          <w:tcPr>
            <w:tcW w:w="2340" w:type="dxa"/>
          </w:tcPr>
          <w:p>
            <w:pPr/>
            <w:r>
              <w:t xml:space="preserve">Condutor ou comissão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Decisão</w:t>
            </w:r>
          </w:p>
        </w:tc>
        <w:tc>
          <w:tcPr>
            <w:tcW w:w="2340" w:type="dxa"/>
          </w:tcPr>
          <w:p>
            <w:pPr/>
            <w:r>
              <w:t xml:space="preserve">21.17</w:t>
            </w:r>
          </w:p>
        </w:tc>
        <w:tc>
          <w:tcPr>
            <w:tcW w:w="2340" w:type="dxa"/>
          </w:tcPr>
          <w:p>
            <w:pPr/>
            <w:r>
              <w:t xml:space="preserve">21.7 (inidoneidade: 21.22)</w:t>
            </w:r>
          </w:p>
        </w:tc>
        <w:tc>
          <w:tcPr>
            <w:tcW w:w="2340" w:type="dxa"/>
          </w:tcPr>
          <w:p>
            <w:pPr/>
            <w:r>
              <w:t xml:space="preserve">Autoridade competente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Intimação da decisão e recurso</w:t>
            </w:r>
          </w:p>
        </w:tc>
        <w:tc>
          <w:tcPr>
            <w:tcW w:w="2340" w:type="dxa"/>
          </w:tcPr>
          <w:p>
            <w:pPr/>
            <w:r>
              <w:t xml:space="preserve">21.18 e 21.19</w:t>
            </w:r>
          </w:p>
        </w:tc>
        <w:tc>
          <w:tcPr>
            <w:tcW w:w="2340" w:type="dxa"/>
          </w:tcPr>
          <w:p>
            <w:pPr/>
            <w:r>
              <w:t xml:space="preserve">21.18 e 21.19</w:t>
            </w:r>
          </w:p>
        </w:tc>
        <w:tc>
          <w:tcPr>
            <w:tcW w:w="2340" w:type="dxa"/>
          </w:tcPr>
          <w:p>
            <w:pPr/>
            <w:r>
              <w:t xml:space="preserve">GCONV; quem decidiu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Definitividade e registro</w:t>
            </w:r>
          </w:p>
        </w:tc>
        <w:tc>
          <w:tcPr>
            <w:tcW w:w="2340" w:type="dxa"/>
          </w:tcPr>
          <w:p>
            <w:pPr/>
            <w:r>
              <w:t xml:space="preserve">21.8</w:t>
            </w:r>
          </w:p>
        </w:tc>
        <w:tc>
          <w:tcPr>
            <w:tcW w:w="2340" w:type="dxa"/>
          </w:tcPr>
          <w:p>
            <w:pPr/>
            <w:r>
              <w:t xml:space="preserve">21.8, 21.21, 21.9 e 21.25</w:t>
            </w:r>
          </w:p>
        </w:tc>
        <w:tc>
          <w:tcPr>
            <w:tcW w:w="2340" w:type="dxa"/>
          </w:tcPr>
          <w:p>
            <w:pPr/>
            <w:r>
              <w:t xml:space="preserve">GCONV</w:t>
            </w:r>
          </w:p>
        </w:tc>
      </w:tr>
    </w:tbl>
    <w:p>
      <w:pPr>
        <w:pStyle w:val="Heading3"/>
      </w:pPr>
      <w:r>
        <w:t xml:space="preserve">21.1 Notificação prévia para correção (fiscal)</w:t>
      </w:r>
    </w:p>
    <w:p>
      <w:pPr>
        <w:pStyle w:val="Code"/>
      </w:pPr>
      <w:bookmarkStart w:id="2" w:name="bongo_lang_text_2"/>
      <w:bookmarkEnd w:id="2"/>
      <w:r>
        <w:t xml:space="preserve">NOTIFICAÇÃO Nº [nº]/[ano]/SUGESP-[unidade]</w:t>
        <w:br/>
        <w:br/>
        <w:t xml:space="preserve">À [razão social], CNPJ [nº]</w:t>
        <w:br/>
        <w:t xml:space="preserve">Contrato nº [nº] — Processo SEI nº [nº]</w:t>
        <w:br/>
        <w:br/>
        <w:t xml:space="preserve">Na qualidade de fiscal do contrato, designado pela Portaria nº [nº], NOTIFICO essa empresa de que, em [data], foi constatado: [descrição objetiva do fato, local, item e quantidade], em desacordo com [cláusula/item do TR].</w:t>
        <w:br/>
        <w:br/>
        <w:t xml:space="preserve">Fica concedido o prazo de [nº] dias [úteis/corridos, conforme a cláusula (nº)] para regularização e apresentação de comprovantes, por meio de [canal].</w:t>
        <w:br/>
        <w:br/>
        <w:t xml:space="preserve">Esta notificação tem caráter de gestão contratual e não constitui sanção. O não atendimento poderá ensejar [glosa/ajuste do IMR], constituição em mora e processo administrativo sancionatório, nos termos dos arts. 155 e 156 da Lei nº 14.133/2021, no qual será assegurada defesa em 15 dias úteis.</w:t>
        <w:br/>
        <w:br/>
        <w:t xml:space="preserve">[Local], [data].</w:t>
        <w:br/>
        <w:t xml:space="preserve">[Nome] — Fiscal do contrato</w:t>
        <w:br/>
        <w:t xml:space="preserve">Enviada por [SEI/e-mail/preposto] em [data].</w:t>
      </w:r>
    </w:p>
    <w:p>
      <w:pPr>
        <w:pStyle w:val="Heading3"/>
      </w:pPr>
      <w:r>
        <w:t xml:space="preserve">21.2 Despacho de instauração do rito simplificado</w:t>
      </w:r>
    </w:p>
    <w:p>
      <w:pPr>
        <w:pStyle w:val="Code"/>
      </w:pPr>
      <w:bookmarkStart w:id="3" w:name="bongo_lang_text_3"/>
      <w:bookmarkEnd w:id="3"/>
      <w:r>
        <w:t xml:space="preserve">DESPACHO DE INSTAURAÇÃO — RITO SIMPLIFICADO (Decreto nº 28.874/2024, art. 185)</w:t>
        <w:br/>
        <w:br/>
        <w:t xml:space="preserve">Processo SEI nº [nº]. Interessada: [razão social], CNPJ [nº]. [Contrato/Ata/Edital] nº [nº].</w:t>
        <w:br/>
        <w:br/>
        <w:t xml:space="preserve">1. Representação: doc. SEI [nº].</w:t>
        <w:br/>
        <w:t xml:space="preserve">2. Fatos delimitados: I — [fato, data, documento SEI]; II — [ ]. Fatos conexos não incluídos: [ ], tratados em [autos próprios].</w:t>
        <w:br/>
        <w:t xml:space="preserve">3. Enquadramento em tese: art. 155, [inciso], da Lei nº 14.133/2021 e cláusula [nº]. O fato não configura, em tese, ato lesivo da Lei nº 12.846/2013.</w:t>
        <w:br/>
        <w:t xml:space="preserve">4. Prescrição: a primeira ciência registrada ocorreu em [data] (doc. [nº]); a prescrição é estimada para [data] e será conferida em cada fase. Este rito será concluído sem contar com interrupção.</w:t>
        <w:br/>
        <w:t xml:space="preserve">5. Rito: simplificado, porque, mesmo confirmados os fatos, a sanção cabível é [advertência / multa estimada em R$ (valor), (x)% do valor contratado], pelas razões: [ ; nos incisos II a VII, por que o impedimento seria desproporcional].</w:t>
        <w:br/>
        <w:t xml:space="preserve">6. INSTAURO o rito simplificado e DESIGNO [nome, matrícula] para conduzi-lo, com apoio da GCONV, no prazo de 90 dias corridos, prorrogável por decisão motivada.</w:t>
        <w:br/>
        <w:t xml:space="preserve">7. Decidirá: [fiscalização, art. 185, p.ú. / servidor delegado, Portaria nº (nº), DOE nº (nº) / Superintendente, se a multa puder superar 5% do valor contratado].</w:t>
        <w:br/>
        <w:t xml:space="preserve">8. À GCONV, para notificar o emissor da garantia (Lei nº 14.133/2021, art. 137, § 4º), se houver, e expedir o termo de intimação.</w:t>
        <w:br/>
        <w:br/>
        <w:t xml:space="preserve">[Local], [data].</w:t>
        <w:br/>
        <w:t xml:space="preserve">[Nome, cargo e fundamento da competência]</w:t>
      </w:r>
    </w:p>
    <w:p>
      <w:pPr>
        <w:pStyle w:val="Heading3"/>
      </w:pPr>
      <w:r>
        <w:t xml:space="preserve">21.3 Portaria de instauração com comissão</w:t>
      </w:r>
    </w:p>
    <w:p>
      <w:pPr>
        <w:pStyle w:val="Code"/>
      </w:pPr>
      <w:bookmarkStart w:id="4" w:name="bongo_lang_text_4"/>
      <w:bookmarkEnd w:id="4"/>
      <w:r>
        <w:t xml:space="preserve">PORTARIA Nº [nº], DE [data]</w:t>
        <w:br/>
        <w:br/>
        <w:t xml:space="preserve">O SUPERINTENDENTE DE GESTÃO DOS GASTOS PÚBLICOS ADMINISTRATIVOS, no uso de suas atribuições e com fundamento no art. 158 da Lei nº 14.133/2021 e no art. 186, I, do Decreto nº 28.874/2024,</w:t>
        <w:br/>
        <w:br/>
        <w:t xml:space="preserve">RESOLVE:</w:t>
        <w:br/>
        <w:br/>
        <w:t xml:space="preserve">Art. 1º Instaurar processo de responsabilização, nos termos do art. 158 da Lei nº 14.133/2021 e do art. 186 do Decreto nº 28.874/2024, em face de [razão social], CNPJ [nº], para apurar os seguintes fatos, relacionados ao [Contrato/Edital] nº [nº]:</w:t>
        <w:br/>
        <w:t xml:space="preserve">I — [fato 1, com data e documento SEI];</w:t>
        <w:br/>
        <w:t xml:space="preserve">II — [fato 2].</w:t>
        <w:br/>
        <w:br/>
        <w:t xml:space="preserve">Art. 2º Os fatos podem configurar, em tese, a infração do art. 155, [inciso], da Lei nº 14.133/2021, punível com [sanções em tese]. Não há, nesta data, indício de ato lesivo da Lei nº 12.846/2013.</w:t>
        <w:br/>
        <w:br/>
        <w:t xml:space="preserve">Art. 3º A ciência da infração pela Administração ocorreu em [data] (doc. SEI [nº]); interrompida por esta instauração (Lei nº 14.133/2021, art. 158, § 4º, I), a prescrição volta a correr da publicação desta Portaria. Adota-se o processo com comissão porque [sanção restritiva cogitada e razão, à luz da tabela 7.3 do Manual].</w:t>
        <w:br/>
        <w:br/>
        <w:t xml:space="preserve">Art. 4º Designar para compor a comissão processante os servidores estáveis [nome, matrícula] (presidente) e [nome, matrícula], com apoio administrativo da GCONV. Os membros juntarão a declaração de ausência de impedimento e suspeição antes do primeiro ato.</w:t>
        <w:br/>
        <w:br/>
        <w:t xml:space="preserve">Art. 5º A comissão concluirá os trabalhos em [120] dias corridos, prorrogáveis por decisão motivada.</w:t>
        <w:br/>
        <w:br/>
        <w:t xml:space="preserve">Art. 6º A GCONV notificará o emissor da garantia contratual, nos termos do art. 137, § 4º, da Lei nº 14.133/2021.</w:t>
        <w:br/>
        <w:br/>
        <w:t xml:space="preserve">Art. 7º Esta Portaria entra em vigor na data de sua publicação, que se fará por extrato, sem descrição dos fatos.</w:t>
        <w:br/>
        <w:br/>
        <w:t xml:space="preserve">EXTRATO PARA O DOE: Portaria nº [nº]/[ano]/SUGESP. Processo SEI nº [nº]. Instaura processo de responsabilização (Lei nº 14.133/2021, art. 158) em face de [iniciais da razão social], CNPJ [dois primeiros e dois últimos dígitos]. Comissão: [nomes], presidente o primeiro.</w:t>
      </w:r>
    </w:p>
    <w:p>
      <w:pPr>
        <w:pStyle w:val="Heading3"/>
      </w:pPr>
      <w:r>
        <w:t xml:space="preserve">21.4 Notificação para defesa (abertura do processo)</w:t>
      </w:r>
    </w:p>
    <w:p>
      <w:pPr>
        <w:pStyle w:val="Code"/>
      </w:pPr>
      <w:bookmarkStart w:id="5" w:name="bongo_lang_text_5"/>
      <w:bookmarkEnd w:id="5"/>
      <w:r>
        <w:t xml:space="preserve">NOTIFICAÇÃO Nº [nº]/[ano]/SUGESP — INTIMAÇÃO PARA DEFESA</w:t>
        <w:br/>
        <w:br/>
        <w:t xml:space="preserve">Órgão/unidade responsável: SUGESP/[unidade]</w:t>
        <w:br/>
        <w:t xml:space="preserve">Autoridade instauradora / condutor ou comissão: [inserir]</w:t>
        <w:br/>
        <w:t xml:space="preserve">Processo de contratação (SEI): [nº/ano — link]</w:t>
        <w:br/>
        <w:t xml:space="preserve">Processo administrativo sancionador (SEI): [nº/ano — link]</w:t>
        <w:br/>
        <w:t xml:space="preserve">Contratada: [razão social] — CNPJ [nº] — [endereço e e-mail cadastrado]</w:t>
        <w:br/>
        <w:t xml:space="preserve">Advogado(a), se constituído: [nome, OAB/UF nº]</w:t>
        <w:br/>
        <w:t xml:space="preserve">Contrato/instrumento/empenho: [nº/ano] — Vigência: [inserir]</w:t>
        <w:br/>
        <w:br/>
        <w:t xml:space="preserve">Meio de notificação (conforme edital, contrato e lei):</w:t>
        <w:br/>
        <w:t xml:space="preserve">[ ] SEI/RO (intimação eletrônica no processo)</w:t>
        <w:br/>
        <w:t xml:space="preserve">[ ] e-mail cadastrado no contrato: [inserir]</w:t>
        <w:br/>
        <w:t xml:space="preserve">[ ] Correios, com aviso de recebimento</w:t>
        <w:br/>
        <w:t xml:space="preserve">[ ] Diário Oficial do Estado (edição de [data]), só depois de frustradas as tentativas anteriores, certificadas nos autos (Decreto nº 28.874/2024, art. 184, § 3º)</w:t>
        <w:br/>
        <w:br/>
        <w:t xml:space="preserve">Assunto: intimação para apresentação de defesa — irregularidade(s) identificada(s)</w:t>
        <w:br/>
        <w:br/>
        <w:t xml:space="preserve">1. FUNDAMENTO E INSTAURAÇÃO</w:t>
        <w:br/>
        <w:t xml:space="preserve">Em razão de apuração realizada [pela fiscalização do contrato / pela comissão processante], foi instaurado processo administrativo sancionador em face da contratada, pelo [despacho/portaria] nº [nº] (doc. SEI [nº]), no [rito simplificado (Decreto nº 28.874/2024, art. 185[, parágrafo único, se decidir a fiscalização]) / processo com comissão (Lei nº 14.133/2021, art. 158; Decreto nº 28.874/2024, art. 186)], com fundamento nos arts. 155 a 163 da Lei nº 14.133/2021, no Decreto estadual nº 28.874/2024, na Lei estadual nº 3.830/2016 e nas cláusulas [nº] do edital e do contrato.</w:t>
        <w:br/>
        <w:br/>
        <w:t xml:space="preserve">2. FATOS, ENQUADRAMENTO E SANÇÕES EM TESE</w:t>
        <w:br/>
        <w:t xml:space="preserve">a) Fatos apurados: [um item por fato — data, período, OS, medição, NF, chamado, evidência; docs. SEI nº ...]</w:t>
        <w:br/>
        <w:t xml:space="preserve">b) Cláusula ou dispositivo violado: [cláusula contratual / item do edital ou do TR / norma]</w:t>
        <w:br/>
        <w:t xml:space="preserve">c) Enquadramento em tese: art. 155, [inciso], da Lei nº 14.133/2021 ([inexecução parcial ou total; atraso injustificado; ...])</w:t>
        <w:br/>
        <w:t xml:space="preserve">d) Sanções em tese: [advertência / multa de até R$ (valor), conforme memória anexa / impedimento de licitar e contratar com a Administração do Estado de Rondônia por até (nº) meses / declaração de inidoneidade]</w:t>
        <w:br/>
        <w:t xml:space="preserve">e) Recomposição financeira, que não é sanção: [glosa ou ressarcimento: valor e memória anexa, se houver]</w:t>
        <w:br/>
        <w:t xml:space="preserve">Anexos: [ato de abertura, matriz de ocorrências, memória de multa, memória de glosa].</w:t>
        <w:br/>
        <w:br/>
        <w:t xml:space="preserve">3. PRAZO PARA DEFESA</w:t>
        <w:br/>
        <w:t xml:space="preserve">Fica a contratada INTIMADA a apresentar defesa escrita, com os documentos que entender pertinentes, no prazo de 15 (quinze) dias úteis (Lei nº 14.133/2021, art. [157 / 158]), contados na forma do art. 183 da mesma lei: exclui-se o dia do começo, que é o primeiro dia útil seguinte à disponibilização eletrônica ou a data da juntada do aviso de recebimento, e inclui-se o dia do vencimento.</w:t>
        <w:br/>
        <w:br/>
        <w:t xml:space="preserve">4. ENVIO DA DEFESA, REPRESENTAÇÃO E ASSINATURAS</w:t>
        <w:br/>
        <w:t xml:space="preserve">4.1 Canais de protocolo (marcar os admitidos):</w:t>
        <w:br/>
        <w:t xml:space="preserve">[ ] SEI/RO — peticionamento intercorrente no processo nº [inserir], por usuário externo cadastrado (CPF do representante legal ou do procurador);</w:t>
        <w:br/>
        <w:t xml:space="preserve">[ ] e-mail: [inserir];</w:t>
        <w:br/>
        <w:t xml:space="preserve">[ ] protocolo físico na [unidade/endereço], em dias úteis, das [horário] às [horário].</w:t>
        <w:br/>
        <w:t xml:space="preserve">4.2 Representação: a defesa pode ser assinada pelo representante legal ou por procurador ou advogado, com instrumento de mandato que dê poderes para atuar no processo sancionador e receber intimações. São válidos: a) procuração pública; b) procuração particular, dispensado o reconhecimento de firma salvo dúvida fundada de autenticidade (Lei nº 13.726/2018); c) procuração eletrônica com assinatura avançada ou qualificada (Lei nº 14.063/2020); d) substabelecimento na mesma forma. Podem ser pedidos os atos societários que comprovem os poderes do signatário, admitida cópia simples com declaração de autenticidade.</w:t>
        <w:br/>
        <w:t xml:space="preserve">4.3 Assinaturas aceitas: eletrônica qualificada (ICP-Brasil); eletrônica avançada (por exemplo, gov.br prata ou ouro); assinatura de usuário externo do SEI; assinatura manual no protocolo físico. Reconhecimento de firma só em caso de dúvida fundada, motivada em despacho.</w:t>
        <w:br/>
        <w:t xml:space="preserve">4.4 Arquivos: PDF pesquisável e paginado; documentos de sistemas oficiais com código verificador ou endereço de validação; mídias extensas em .zip.</w:t>
        <w:br/>
        <w:t xml:space="preserve">4.5 Próximas intimações: pelos mesmos meios desta notificação. Informe o e-mail para recebê-las.</w:t>
        <w:br/>
        <w:br/>
        <w:t xml:space="preserve">5. ACESSO AOS AUTOS</w:t>
        <w:br/>
        <w:t xml:space="preserve">O acesso integral aos autos se dá pelo SEI/RO [ou: por cópia integral enviada a pedido]. Documentos com restrição legal (dados pessoais, sigilo fiscal ou empresarial) podem ser vistos mediante pedido motivado. Atendimento presencial com agendamento: [e-mail/telefone].</w:t>
        <w:br/>
        <w:br/>
        <w:t xml:space="preserve">6. PROVAS E MANIFESTAÇÃO FINAL</w:t>
        <w:br/>
        <w:t xml:space="preserve">Na defesa, a contratada pode juntar documentos, indicar testemunhas e especificar as provas que pretende produzir; o indeferimento será fundamentado (Lei nº 14.133/2021, art. 158, § 3º). Encerrada a instrução, a contratada será intimada para manifestação final, haja ou não prova nova: [10 dias úteis no rito simplificado (Lei estadual nº 3.830/2016, arts. 62 e 84) / 15 dias úteis no processo com comissão (Lei nº 14.133/2021, art. 158, § 2º)].</w:t>
        <w:br/>
        <w:br/>
        <w:t xml:space="preserve">7. PROGRAMA DE INTEGRIDADE</w:t>
        <w:br/>
        <w:t xml:space="preserve">Para a dosimetria (Lei nº 14.133/2021, art. 156, § 1º, V), informe e comprove se a empresa tem programa de integridade: código de conduta e políticas (inclusive anticorrupção); governança, auditoria e canal de denúncias; evidências de implantação e treinamento; certificações ou relatórios independentes.</w:t>
        <w:br/>
        <w:br/>
        <w:t xml:space="preserve">8. REGULARIZAÇÃO E REPARAÇÃO (FACULTATIVO)</w:t>
        <w:br/>
        <w:t xml:space="preserve">Sem prejuízo da defesa, a contratada pode apresentar plano de regularização ou proposta de reparação do dano. A proposta não suspende o processo nem afasta a apuração. Regularização espontânea e reparação integral do dano antes da decisão são consideradas como atenuantes na dosimetria.</w:t>
        <w:br/>
        <w:br/>
        <w:t xml:space="preserve">9. CRITÉRIOS DE DOSIMETRIA</w:t>
        <w:br/>
        <w:t xml:space="preserve">Se aplicada, a sanção considerará: natureza e gravidade da infração; peculiaridades do caso; circunstâncias agravantes e atenuantes; danos causados à Administração; programa de integridade (Lei nº 14.133/2021, art. 156, § 1º); e sanções já aplicadas pelo mesmo fato (LINDB, art. 22, § 3º). A gradação será motivada na decisão, após o contraditório.</w:t>
        <w:br/>
        <w:br/>
        <w:t xml:space="preserve">10. CONSEQUÊNCIAS DO NÃO ATENDIMENTO</w:t>
        <w:br/>
        <w:t xml:space="preserve">Sem defesa, o processo seguirá e será decidido com base nas provas dos autos (Lei estadual nº 3.830/2016, art. 44, V). A falta de defesa não importa reconhecimento dos fatos (art. 45). A eventual sanção não exclui o ressarcimento dos danos (Lei nº 14.133/2021, art. 156, § 9º).</w:t>
        <w:br/>
        <w:br/>
        <w:t xml:space="preserve">11. QUEM CONDUZ E QUEM DECIDE</w:t>
        <w:br/>
        <w:t xml:space="preserve">Conduz o processo: [condutor / comissão]. Decidirá: [autoridade e fundamento da competência].</w:t>
        <w:br/>
        <w:br/>
        <w:t xml:space="preserve">[Variante com extinção: Fica também INTIMADA a manifestar-se, no mesmo prazo, sobre a extinção unilateral do contrato com fundamento no art. 137, (inciso), da Lei nº 14.133/2021, que será decidida em tópico próprio, com recurso de 3 dias úteis (art. 165, I, "e").]</w:t>
        <w:br/>
        <w:br/>
        <w:t xml:space="preserve">[Local], [data].</w:t>
        <w:br/>
        <w:t xml:space="preserve">[Nome completo] — [Fiscal do contrato / Condutor designado / Presidente da comissão]</w:t>
        <w:br/>
        <w:t xml:space="preserve">Contato: [e-mail institucional] | [telefone]</w:t>
      </w:r>
    </w:p>
    <w:p>
      <w:pPr>
        <w:pStyle w:val="Heading3"/>
      </w:pPr>
      <w:r>
        <w:t xml:space="preserve">21.5 Decisão sobre provas</w:t>
      </w:r>
    </w:p>
    <w:p>
      <w:pPr>
        <w:pStyle w:val="Code"/>
      </w:pPr>
      <w:bookmarkStart w:id="6" w:name="bongo_lang_text_6"/>
      <w:bookmarkEnd w:id="6"/>
      <w:r>
        <w:t xml:space="preserve">DESPACHO</w:t>
        <w:br/>
        <w:br/>
        <w:t xml:space="preserve">Processo SEI nº [nº]. Requerimentos de prova da defesa (doc. [nº]):</w:t>
        <w:br/>
        <w:br/>
        <w:t xml:space="preserve">a) [Prova 1]: DEFERIDA. [Providência, data, hora e local, com intimação da empresa com antecedência mínima de 3 dias úteis.]</w:t>
        <w:br/>
        <w:t xml:space="preserve">b) [Prova 2]: INDEFERIDA, por ser [impertinente/desnecessária/protelatória/intempestiva/ilícita], porque [fundamentação específica] (art. 158, § 3º, da Lei nº 14.133/2021).</w:t>
        <w:br/>
        <w:br/>
        <w:t xml:space="preserve">Intime-se a empresa desta decisão. Concluída a produção das provas deferidas, a instrução será encerrada e a empresa será intimada para alegações finais.</w:t>
        <w:br/>
        <w:br/>
        <w:t xml:space="preserve">[Local], [data].</w:t>
        <w:br/>
        <w:t xml:space="preserve">[Presidente da comissão / condutor]</w:t>
      </w:r>
    </w:p>
    <w:p>
      <w:pPr>
        <w:pStyle w:val="Heading3"/>
      </w:pPr>
      <w:r>
        <w:t xml:space="preserve">21.6 Relatório final (estrutura)</w:t>
      </w:r>
    </w:p>
    <w:p>
      <w:pPr>
        <w:pStyle w:val="Code"/>
      </w:pPr>
      <w:bookmarkStart w:id="7" w:name="bongo_lang_text_7"/>
      <w:bookmarkEnd w:id="7"/>
      <w:r>
        <w:t xml:space="preserve">RELATÓRIO FINAL — Processo SEI nº [nº]</w:t>
        <w:br/>
        <w:br/>
        <w:t xml:space="preserve">1. IDENTIFICAÇÃO: empresa, CNPJ, contrato, ato de abertura, condutor ou comissão.</w:t>
        <w:br/>
        <w:t xml:space="preserve">2. FATOS IMPUTADOS: transcrição do ato de abertura.</w:t>
        <w:br/>
        <w:t xml:space="preserve">3. HISTÓRICO PROCESSUAL: intimações (datas e meios), defesa, provas deferidas e indeferidas, manifestação final.</w:t>
        <w:br/>
        <w:t xml:space="preserve">4. ANÁLISE DA DEFESA: um tópico numerado por argumento, com conclusão.</w:t>
        <w:br/>
        <w:t xml:space="preserve">5. MÉRITO: materialidade, autoria, nexo e culpa, com indicação dos documentos SEI; excludentes examinadas.</w:t>
        <w:br/>
        <w:t xml:space="preserve">6. ENQUADRAMENTO FINAL: art. 155, [inciso], e cláusula [nº].</w:t>
        <w:br/>
        <w:t xml:space="preserve">7. PRESCRIÇÃO: ciência em [data], instauração em [data], data-limite [data].</w:t>
        <w:br/>
        <w:t xml:space="preserve">8. DOSIMETRIA: critérios do art. 156, § 1º; pena-base; agravantes e atenuantes; cálculo; limites.</w:t>
        <w:br/>
        <w:t xml:space="preserve">9. COMPETÊNCIA PARA DECIDIR: [autoridade], considerando o valor da multa e a sanção.</w:t>
        <w:br/>
        <w:t xml:space="preserve">10. CONCLUSÃO: proposta de [arquivamento / sanção], com valor da multa, duração e abrangência da sanção restritiva e condições de reabilitação.</w:t>
        <w:br/>
        <w:t xml:space="preserve">11. PROVIDÊNCIAS ACESSÓRIAS: ressarcimento, extinção contratual, comunicações a MP, CGE, CADE ou CEAP.</w:t>
        <w:br/>
        <w:br/>
        <w:t xml:space="preserve">No rito simplificado, use os itens 1, 4, 5, 6, 8, 9 e 10, de forma resumida.</w:t>
        <w:br/>
        <w:br/>
        <w:t xml:space="preserve">[Local], [data]. [Assinaturas]</w:t>
      </w:r>
    </w:p>
    <w:p>
      <w:pPr>
        <w:pStyle w:val="Heading3"/>
      </w:pPr>
      <w:r>
        <w:t xml:space="preserve">21.7 Decisão sancionatória</w:t>
      </w:r>
    </w:p>
    <w:p>
      <w:pPr>
        <w:pStyle w:val="Code"/>
      </w:pPr>
      <w:bookmarkStart w:id="8" w:name="bongo_lang_text_8"/>
      <w:bookmarkEnd w:id="8"/>
      <w:r>
        <w:t xml:space="preserve">DECISÃO Nº [nº]/[ano]/SUGESP</w:t>
        <w:br/>
        <w:br/>
        <w:t xml:space="preserve">Processo SEI nº [nº]. Interessada: [razão social], CNPJ [nº].</w:t>
        <w:br/>
        <w:t xml:space="preserve">Competência: Decreto nº 28.874/2024, art. 186, I, e parágrafo único.</w:t>
        <w:br/>
        <w:br/>
        <w:t xml:space="preserve">1. Adoto como fundamentos o Relatório Final (doc. [nº]) [e o Parecer nº (nº) da Assessoria Jurídica], que passam a integrar esta decisão (Lei estadual nº 3.830/2016, art. 12, § 1º).</w:t>
        <w:br/>
        <w:t xml:space="preserve">2. Está comprovado que [síntese dos fatos e provas]. A empresa apresentou alegações finais (doc. [nº]) [ou: deixou transcorrer o prazo, certidão doc. (nº)]. As teses da defesa foram afastadas porque [síntese].</w:t>
        <w:br/>
        <w:t xml:space="preserve">3. A conduta se enquadra no art. 155, [inciso], da Lei nº 14.133/2021.</w:t>
        <w:br/>
        <w:t xml:space="preserve">4. Dosimetria: [síntese por critério do art. 156, § 1º, e cálculo]. Considerei ainda as consequências práticas desta decisão (LINDB, art. 20): [síntese].</w:t>
        <w:br/>
        <w:br/>
        <w:t xml:space="preserve">ANTE O EXPOSTO, DECIDO:</w:t>
        <w:br/>
        <w:t xml:space="preserve">I — APLICAR à [razão social] a sanção de [multa de R$ (valor), correspondente a (x)% de (base)] [e de impedimento de licitar e contratar com a Administração Pública direta e indireta do Estado de Rondônia pelo prazo de (nº) meses, a contar da publicação do extrato após a decisão definitiva], com fundamento no art. 156, [incisos], da Lei nº 14.133/2021;</w:t>
        <w:br/>
        <w:t xml:space="preserve">II — FIXAR como condições de reabilitação: [condições];</w:t>
        <w:br/>
        <w:t xml:space="preserve">III — DETERMINAR a intimação da empresa, que poderá interpor recurso em 15 dias úteis, com efeito suspensivo, dirigido a esta autoridade, que poderá reconsiderar em 5 dias úteis, com subida a [autoridade superior] (arts. 166 e 168), facultada a sustentação oral na forma do art. 36-I da Lei estadual nº 3.830/2016;</w:t>
        <w:br/>
        <w:t xml:space="preserve">IV — DETERMINAR que a multa, após a definitividade, seja descontada de [pagamentos/garantia] ou recolhida por guia com vencimento em [nº] dias;</w:t>
        <w:br/>
        <w:t xml:space="preserve">V — DETERMINAR, após a definitividade, a comunicação à CGE para registro no Ceis e no cadastro estadual, a publicação do extrato no DOE e o aviso aos gestores de outros contratos com a empresa.</w:t>
        <w:br/>
        <w:br/>
        <w:t xml:space="preserve">[Local], [data].</w:t>
        <w:br/>
        <w:t xml:space="preserve">[Autoridade competente]</w:t>
      </w:r>
    </w:p>
    <w:p>
      <w:pPr>
        <w:pStyle w:val="Heading3"/>
      </w:pPr>
      <w:r>
        <w:t xml:space="preserve">21.8 Certidão de definitividade</w:t>
      </w:r>
    </w:p>
    <w:p>
      <w:pPr>
        <w:pStyle w:val="Code"/>
      </w:pPr>
      <w:bookmarkStart w:id="9" w:name="bongo_lang_text_9"/>
      <w:bookmarkEnd w:id="9"/>
      <w:r>
        <w:t xml:space="preserve">CERTIDÃO</w:t>
        <w:br/>
        <w:br/>
        <w:t xml:space="preserve">Certifico que a Decisão nº [nº] (doc. SEI [nº]) foi recebida pela interessada em [data], por [meio] (doc. [nº]); o prazo de 15 dias úteis teve dia do começo em [data] e venceu em [data]; [não houve recurso / o recurso não foi conhecido / o recurso foi (parcialmente) provido / o pedido de reconsideração foi indeferido], doc. [nº]. A decisão, [nos termos da decisão do recurso,] tornou-se definitiva na esfera administrativa em [data]. A sanção restritiva vigorará por [nº] meses a contar da publicação do extrato.</w:t>
        <w:br/>
        <w:br/>
        <w:t xml:space="preserve">[Local], [data]. [Servidor da GCONV]</w:t>
      </w:r>
    </w:p>
    <w:p>
      <w:pPr>
        <w:pStyle w:val="Heading3"/>
      </w:pPr>
      <w:r>
        <w:t xml:space="preserve">21.9 Extrato para o Diário Oficial</w:t>
      </w:r>
    </w:p>
    <w:p>
      <w:pPr>
        <w:pStyle w:val="Code"/>
      </w:pPr>
      <w:bookmarkStart w:id="10" w:name="bongo_lang_text_10"/>
      <w:bookmarkEnd w:id="10"/>
      <w:r>
        <w:t xml:space="preserve">EXTRATO DE DECISÃO SANCIONATÓRIA</w:t>
        <w:br/>
        <w:br/>
        <w:t xml:space="preserve">Processo SEI nº [nº]. Contratada: [razão social], CNPJ [nº]. Contrato nº [nº]. Infração: art. 155, [inciso], da Lei nº 14.133/2021. Sanção: [impedimento de licitar e contratar com a Administração Pública direta e indireta do Estado de Rondônia / declaração de inidoneidade], pelo prazo de [nº] meses, de [data inicial] a [data final][, cumulada com multa de R$ (valor)]. Fundamento: art. 156, [inciso e §], da Lei nº 14.133/2021. Autoridade: [nome e cargo]. Decisão definitiva em [data].</w:t>
      </w:r>
    </w:p>
    <w:p>
      <w:pPr>
        <w:pStyle w:val="Heading3"/>
      </w:pPr>
      <w:r>
        <w:t xml:space="preserve">21.10 Representação do fiscal, com matriz e memória de multa</w:t>
      </w:r>
    </w:p>
    <w:p>
      <w:pPr>
        <w:pStyle w:val="Code"/>
      </w:pPr>
      <w:bookmarkStart w:id="11" w:name="bongo_lang_text_11"/>
      <w:bookmarkEnd w:id="11"/>
      <w:r>
        <w:t xml:space="preserve">RELATÓRIO DE OCORRÊNCIA E REPRESENTAÇÃO Nº [nº]/[ano]/SUGESP-[unidade]</w:t>
        <w:br/>
        <w:br/>
        <w:t xml:space="preserve">Contrato nº [nº] — Processo SEI do contrato nº [nº]. Contratada: [razão social], CNPJ [nº], e-mail [ ], endereço [ ].</w:t>
        <w:br/>
        <w:br/>
        <w:t xml:space="preserve">1. Fatos (matriz de ocorrências, doc. SEI [nº]).</w:t>
        <w:br/>
        <w:t xml:space="preserve">2. Notificações prévias: [nº, envio em, recebimento em, prazo, resultado] (certidão doc. SEI [nº]).</w:t>
        <w:br/>
        <w:t xml:space="preserve">3. Primeira ciência do fato por agente da SUGESP: [data] (doc. SEI [nº]).</w:t>
        <w:br/>
        <w:t xml:space="preserve">4. Prejuízo: [efetivo/potencial; valor estimado; memória doc. SEI (nº)].</w:t>
        <w:br/>
        <w:t xml:space="preserve">5. Recomposição financeira (glosa/IMR), que não é sanção: [valor; memória doc. SEI (nº)].</w:t>
        <w:br/>
        <w:t xml:space="preserve">6. Histórico: [ocorrências e sanções anteriores no contrato e na SUGESP].</w:t>
        <w:br/>
        <w:t xml:space="preserve">7. Proposta: art. 155, [inciso], da Lei nº 14.133/2021, cláusula [nº]; sanção em tese [ ]; rito sugerido [simplificado/comissão], porque [ ]. Indício de fraude, conluio ou vantagem indevida: [sim/não].</w:t>
        <w:br/>
        <w:br/>
        <w:t xml:space="preserve">Encaminho ao gestor do contrato para as providências do art. 20, V, VI e XV, do Decreto nº 28.874/2024.</w:t>
        <w:br/>
        <w:br/>
        <w:t xml:space="preserve">[Local], [data]. [Nome] — Fiscal [técnico/administrativo/setorial], Portaria nº [nº].</w:t>
        <w:br/>
        <w:br/>
        <w:t xml:space="preserve">MATRIZ DE OCORRÊNCIAS (colunas): nº | posto/unidade | obrigação (cláusula/item) | data em que era exigível | data do cumprimento (ou "não cumprida") | notificação (nº/data) | prova (doc. SEI) | fiscal que registrou | observação.</w:t>
        <w:br/>
        <w:br/>
        <w:t xml:space="preserve">MEMÓRIA DE MULTA (separada da glosa): infração (inciso e cláusula) | base de cálculo (valor e fonte) | percentual ou valor unitário (cláusula) | quantidade ou período | subtotal | soma no processo | conferência com 0,5%, 5% e 30% do valor contratado | quem calculou e data.</w:t>
      </w:r>
    </w:p>
    <w:p>
      <w:pPr>
        <w:pStyle w:val="Heading3"/>
      </w:pPr>
      <w:r>
        <w:t xml:space="preserve">21.11 Despacho de arquivamento</w:t>
      </w:r>
    </w:p>
    <w:p>
      <w:pPr>
        <w:pStyle w:val="Code"/>
      </w:pPr>
      <w:bookmarkStart w:id="12" w:name="bongo_lang_text_12"/>
      <w:bookmarkEnd w:id="12"/>
      <w:r>
        <w:t xml:space="preserve">DESPACHO DE ARQUIVAMENTO</w:t>
        <w:br/>
        <w:br/>
        <w:t xml:space="preserve">Processo SEI nº [nº]. Interessada: [ ], CNPJ [nº].</w:t>
        <w:br/>
        <w:br/>
        <w:t xml:space="preserve">1. Representação: doc. SEI [nº]. Fatos examinados: [ ].</w:t>
        <w:br/>
        <w:t xml:space="preserve">2. Motivo: [fato inexistente / conduta atípica / justificativa aceita: (caso fortuito, força maior, fato da Administração, fato superveniente), comprovada pelo doc. SEI (nº) / autoria não identificada / prescrição consumada em (data)].</w:t>
        <w:br/>
        <w:t xml:space="preserve">3. O valor envolvido não foi considerado motivo de arquivamento.</w:t>
        <w:br/>
        <w:t xml:space="preserve">4. Medidas não sancionatórias mantidas: [glosa/IMR/registro na avaliação de desempenho].</w:t>
        <w:br/>
        <w:t xml:space="preserve">5. [Se prescrição: encaminhe-se ao (Controle Interno/CEAP) para apurar a causa da demora (Lei 3.830, art. 83).]</w:t>
        <w:br/>
        <w:t xml:space="preserve">6. ARQUIVO. Dê-se ciência ao fiscal, ao gestor e ao Controle Interno.</w:t>
        <w:br/>
        <w:br/>
        <w:t xml:space="preserve">[Local], [data]. [Quem seria competente para aplicar a sanção mais grave cogitada]</w:t>
      </w:r>
    </w:p>
    <w:p>
      <w:pPr>
        <w:pStyle w:val="Heading3"/>
      </w:pPr>
      <w:r>
        <w:t xml:space="preserve">21.12 Notificação ao emissor da garantia</w:t>
      </w:r>
    </w:p>
    <w:p>
      <w:pPr>
        <w:pStyle w:val="Code"/>
      </w:pPr>
      <w:bookmarkStart w:id="13" w:name="bongo_lang_text_13"/>
      <w:bookmarkEnd w:id="13"/>
      <w:r>
        <w:t xml:space="preserve">OFÍCIO Nº [nº]/[ano]/SUGESP-GCONV</w:t>
        <w:br/>
        <w:br/>
        <w:t xml:space="preserve">A [seguradora/banco]. Apólice/carta de fiança nº [nº]. Tomador: [contratada], CNPJ [nº]. Contrato nº [nº].</w:t>
        <w:br/>
        <w:br/>
        <w:t xml:space="preserve">Comunico a instauração, em [data], de processo administrativo para apurar descumprimento de cláusulas contratuais pela tomadora (Processo SEI nº [nº]; cópia do ato de abertura anexa), nos termos do art. 137, § 4º, da Lei nº 14.133/2021, para os fins da garantia prestada. A SUGESP informará a decisão final e os valores eventualmente devidos.</w:t>
        <w:br/>
        <w:br/>
        <w:t xml:space="preserve">[Local], [data]. [Gerente da GCONV]</w:t>
      </w:r>
    </w:p>
    <w:p>
      <w:pPr/>
      <w:r>
        <w:t xml:space="preserve">Confira as condições da apólice; se ela exigir aviso de expectativa de sinistro em formato próprio, siga-o também.</w:t>
      </w:r>
    </w:p>
    <w:p>
      <w:pPr>
        <w:pStyle w:val="Heading3"/>
      </w:pPr>
      <w:r>
        <w:t xml:space="preserve">21.13 Declaração de ausência de impedimento e suspeição</w:t>
      </w:r>
    </w:p>
    <w:p>
      <w:pPr>
        <w:pStyle w:val="Code"/>
      </w:pPr>
      <w:bookmarkStart w:id="14" w:name="bongo_lang_text_14"/>
      <w:bookmarkEnd w:id="14"/>
      <w:r>
        <w:t xml:space="preserve">DECLARAÇÃO</w:t>
        <w:br/>
        <w:br/>
        <w:t xml:space="preserve">Eu, [nome], matrícula [nº], [servidor estável desde (data)], designado(a) para [conduzir / integrar a comissão] no Processo SEI nº [nº], declaro que não atuei nos fatos apurados, não subscrevi a representação e não me enquadro em hipótese de impedimento ou suspeição (Lei estadual nº 3.830/2016, arts. 37 a 39) em relação a [razão social], seus sócios ou representantes. Comprometo-me a comunicar de imediato qualquer impedimento superveniente.</w:t>
        <w:br/>
        <w:br/>
        <w:t xml:space="preserve">[Local], [data]. [Assinatura]</w:t>
      </w:r>
    </w:p>
    <w:p>
      <w:pPr>
        <w:pStyle w:val="Heading3"/>
      </w:pPr>
      <w:r>
        <w:t xml:space="preserve">21.14 Certidão de intimação e de decurso de prazo</w:t>
      </w:r>
    </w:p>
    <w:p>
      <w:pPr>
        <w:pStyle w:val="Code"/>
      </w:pPr>
      <w:bookmarkStart w:id="15" w:name="bongo_lang_text_15"/>
      <w:bookmarkEnd w:id="15"/>
      <w:r>
        <w:t xml:space="preserve">CERTIDÃO</w:t>
        <w:br/>
        <w:br/>
        <w:t xml:space="preserve">Certifico que: a) o [termo de intimação/decisão] nº [nº] (doc. SEI [nº]) foi [disponibilizado no SEI / enviado ao e-mail (endereço) / remetido por AR] em [data]; b) [a leitura foi confirmada em (data), doc. (nº) / o AR foi juntado em (data), doc. (nº) / o edital foi publicado no DOE nº (nº), de (data)]; c) o prazo de [nº] dias úteis teve como dia do começo [data] e venceu em [data], descontados os dias sem expediente [listar]; d) [foi apresentada manifestação em (data), doc. (nº) / não houve manifestação].</w:t>
        <w:br/>
        <w:br/>
        <w:t xml:space="preserve">[Local], [data]. [Servidor da GCONV]</w:t>
      </w:r>
    </w:p>
    <w:p>
      <w:pPr>
        <w:pStyle w:val="Heading3"/>
      </w:pPr>
      <w:r>
        <w:t xml:space="preserve">21.15 Intimação para manifestação final ou alegações finais</w:t>
      </w:r>
    </w:p>
    <w:p>
      <w:pPr>
        <w:pStyle w:val="Code"/>
      </w:pPr>
      <w:bookmarkStart w:id="16" w:name="bongo_lang_text_16"/>
      <w:bookmarkEnd w:id="16"/>
      <w:r>
        <w:t xml:space="preserve">TERMO DE INTIMAÇÃO Nº [nº]/[ano] — ENCERRAMENTO DA INSTRUÇÃO</w:t>
        <w:br/>
        <w:br/>
        <w:t xml:space="preserve">À [razão social], CNPJ [nº]. Processo SEI nº [nº].</w:t>
        <w:br/>
        <w:br/>
        <w:t xml:space="preserve">Fica essa empresa INTIMADA do encerramento da instrução. Após a defesa, [foram juntados os documentos SEI nº (lista) / não foi juntado documento novo]. Prazo para [manifestação final: 10 dias úteis (rito simplificado; Lei estadual nº 3.830/2016, arts. 62 e 84) / alegações finais: 15 dias úteis (Lei nº 14.133/2021, art. 158, § 2º)], contados na forma do art. 183 da Lei nº 14.133/2021. Acesso aos autos: [ ]. Envio: [ ].</w:t>
        <w:br/>
        <w:br/>
        <w:t xml:space="preserve">Decorrido o prazo, com ou sem manifestação, o processo seguirá para relatório e decisão.</w:t>
        <w:br/>
        <w:br/>
        <w:t xml:space="preserve">[Local], [data]. [Condutor / Presidente da comissão]</w:t>
      </w:r>
    </w:p>
    <w:p>
      <w:pPr>
        <w:pStyle w:val="Heading3"/>
      </w:pPr>
      <w:r>
        <w:t xml:space="preserve">21.16 Despacho de conversão de rito</w:t>
      </w:r>
    </w:p>
    <w:p>
      <w:pPr>
        <w:pStyle w:val="Code"/>
      </w:pPr>
      <w:bookmarkStart w:id="17" w:name="bongo_lang_text_17"/>
      <w:bookmarkEnd w:id="17"/>
      <w:r>
        <w:t xml:space="preserve">DESPACHO DE CONVERSÃO DE RITO</w:t>
        <w:br/>
        <w:br/>
        <w:t xml:space="preserve">Processo SEI nº [nº]. Interessada: [ ].</w:t>
        <w:br/>
        <w:br/>
        <w:t xml:space="preserve">1. Na instrução do rito simplificado surgiram os fatos [ ] (doc. SEI [nº]), que indicam, em tese, a infração do art. 155, [inciso], punível com [impedimento/inidoneidade].</w:t>
        <w:br/>
        <w:t xml:space="preserve">2. O mérito do rito simplificado não foi decidido.</w:t>
        <w:br/>
        <w:t xml:space="preserve">3. Encaminho ao Superintendente, com minuta de portaria, para instauração de processo com comissão [ou: para remessa à CGE, se houver indício de ato lesivo da Lei nº 12.846/2013].</w:t>
        <w:br/>
        <w:t xml:space="preserve">4. As provas já produzidas poderão ser aproveitadas, assegurada nova intimação e prazo de defesa integral.</w:t>
        <w:br/>
        <w:t xml:space="preserve">5. Fica suspenso o prazo de conclusão do rito simplificado.</w:t>
        <w:br/>
        <w:br/>
        <w:t xml:space="preserve">[Local], [data]. [Condutor do rito simplificado]</w:t>
      </w:r>
    </w:p>
    <w:p>
      <w:pPr>
        <w:pStyle w:val="Heading3"/>
      </w:pPr>
      <w:r>
        <w:t xml:space="preserve">21.17 Decisão no rito simplificado</w:t>
      </w:r>
    </w:p>
    <w:p>
      <w:pPr>
        <w:pStyle w:val="Code"/>
      </w:pPr>
      <w:bookmarkStart w:id="18" w:name="bongo_lang_text_18"/>
      <w:bookmarkEnd w:id="18"/>
      <w:r>
        <w:t xml:space="preserve">DECISÃO Nº [nº]/[ano]/SUGESP-[unidade]</w:t>
        <w:br/>
        <w:br/>
        <w:t xml:space="preserve">Processo SEI nº [nº]. Interessada: [ ], CNPJ [nº].</w:t>
        <w:br/>
        <w:br/>
        <w:t xml:space="preserve">Competência: [Decreto nº 28.874/2024, art. 185, p.ú. / delegação da Portaria nº (nº), DOE nº (nº), decisão editada pelo delegado (Lei 3.830, art. 26, § 3º) / Superintendente, Decreto nº 28.874/2024, art. 186, p.ú.].</w:t>
        <w:br/>
        <w:br/>
        <w:t xml:space="preserve">1. Adoto o relatório simplificado (doc. SEI [nº]), que examinou a defesa (doc. [nº]) e a manifestação final (doc. [nº] / certidão de decurso doc. [nº]).</w:t>
        <w:br/>
        <w:t xml:space="preserve">2. Fatos provados: [ ]. Teses da defesa afastadas porque: [ ].</w:t>
        <w:br/>
        <w:t xml:space="preserve">3. Enquadramento: art. 155, [inciso], cláusula [nº].</w:t>
        <w:br/>
        <w:t xml:space="preserve">4. Escolha e dosimetria: [por que advertência basta ou por que multa; cálculo conforme a cláusula (nº)].</w:t>
        <w:br/>
        <w:br/>
        <w:t xml:space="preserve">DECIDO: I — APLICAR [ADVERTÊNCIA / MULTA de R$ (valor), (x)% de (base)]; II — [se trabalhista: FIXAR o prazo de (nº) dias para regularização (Dec. 28.874, art. 26, § 1º)]; III — INTIMAR a empresa (modelo 21.18), com recurso em 15 dias úteis dirigido a esta autoridade e, se não reconsiderada a decisão, à [autoridade superior].</w:t>
        <w:br/>
        <w:br/>
        <w:t xml:space="preserve">[Local], [data]. [Nome e função]</w:t>
      </w:r>
    </w:p>
    <w:p>
      <w:pPr>
        <w:pStyle w:val="Heading3"/>
      </w:pPr>
      <w:r>
        <w:t xml:space="preserve">21.18 Termo de intimação da decisão</w:t>
      </w:r>
    </w:p>
    <w:p>
      <w:pPr>
        <w:pStyle w:val="Code"/>
      </w:pPr>
      <w:bookmarkStart w:id="19" w:name="bongo_lang_text_19"/>
      <w:bookmarkEnd w:id="19"/>
      <w:r>
        <w:t xml:space="preserve">TERMO DE INTIMAÇÃO Nº [nº]/[ano] — DECISÃO</w:t>
        <w:br/>
        <w:br/>
        <w:t xml:space="preserve">Fica a [razão social], CNPJ [nº], INTIMADA da Decisão nº [nº] (doc. SEI [nº]), que [aplicou a sanção de (...) / arquivou o processo].</w:t>
        <w:br/>
        <w:br/>
        <w:t xml:space="preserve">Da decisão cabe [recurso (advertência, multa, impedimento) / pedido de reconsideração (inidoneidade)] no prazo de 15 dias úteis, contados na forma do art. 183 da Lei nº 14.133/2021, dirigido a [autoridade que decidiu], que poderá reconsiderar em 5 dias úteis ou encaminhá-lo a [autoridade superior] (arts. 166 a 168). O recurso tem efeito suspensivo. O advogado constituído poderá requerer sustentação oral (Lei estadual nº 3.830/2016, art. 36-I).</w:t>
        <w:br/>
        <w:br/>
        <w:t xml:space="preserve">[Se multa:] Definitiva a decisão, a multa de R$ [valor] será descontada de [pagamentos/garantia] ou deverá ser recolhida por guia em [nº] dias.</w:t>
        <w:br/>
        <w:br/>
        <w:t xml:space="preserve">[Se houver advogado:] Intima-se também o(a) advogado(a) [nome completo], OAB/[UF] nº [nº] (art. 36-E).</w:t>
        <w:br/>
        <w:br/>
        <w:t xml:space="preserve">[Local], [data]. [Servidor da GCONV]</w:t>
      </w:r>
    </w:p>
    <w:p>
      <w:pPr>
        <w:pStyle w:val="Heading3"/>
      </w:pPr>
      <w:r>
        <w:t xml:space="preserve">21.19 Juízo de reconsideração e encaminhamento do recurso</w:t>
      </w:r>
    </w:p>
    <w:p>
      <w:pPr>
        <w:pStyle w:val="Code"/>
      </w:pPr>
      <w:bookmarkStart w:id="20" w:name="bongo_lang_text_20"/>
      <w:bookmarkEnd w:id="20"/>
      <w:r>
        <w:t xml:space="preserve">DESPACHO</w:t>
        <w:br/>
        <w:br/>
        <w:t xml:space="preserve">Processo SEI nº [nº]. Recurso doc. SEI [nº], interposto em [data]. Intimação da decisão em [data]; prazo final [data]: recurso [tempestivo/intempestivo]. [Pedido de sustentação oral: (sim/não).]</w:t>
        <w:br/>
        <w:br/>
        <w:t xml:space="preserve">[RECONSIDERO a decisão, pelos fundamentos: (...).] / [MANTENHO a decisão, porque (resposta aos argumentos novos do recurso), e ENCAMINHO o recurso a (autoridade superior), para decisão em até 20 dias úteis do recebimento dos autos (Lei nº 14.133/2021, art. 166, p.ú.), com sugestão de oitiva da Assessoria Jurídica (art. 168, p.ú.).]</w:t>
        <w:br/>
        <w:br/>
        <w:t xml:space="preserve">[Local], [data — até 5 dias úteis do recebimento]. [Autoridade que decidiu]</w:t>
      </w:r>
    </w:p>
    <w:p>
      <w:pPr>
        <w:pStyle w:val="Heading3"/>
      </w:pPr>
      <w:r>
        <w:t xml:space="preserve">21.20 Ofício de remessa à CGE: indício de ato lesivo</w:t>
      </w:r>
    </w:p>
    <w:p>
      <w:pPr>
        <w:pStyle w:val="Code"/>
      </w:pPr>
      <w:bookmarkStart w:id="21" w:name="bongo_lang_text_21"/>
      <w:bookmarkEnd w:id="21"/>
      <w:r>
        <w:t xml:space="preserve">OFÍCIO Nº [nº]/[ano]/SUGESP</w:t>
        <w:br/>
        <w:br/>
        <w:t xml:space="preserve">À Controladoria-Geral do Estado.</w:t>
        <w:br/>
        <w:t xml:space="preserve">Assunto: indício de ato lesivo da Lei nº 12.846/2013 — remessa para investigação preliminar e PAR (Lei nº 14.133/2021, art. 159; Decreto nº 28.874/2024, arts. 186, II, e 187; Decreto nº 23.907/2019, arts. 2º e 8º).</w:t>
        <w:br/>
        <w:br/>
        <w:t xml:space="preserve">Encaminho os autos do Processo SEI nº [nº], referentes ao [Contrato/Edital] nº [nº], com [razão social], CNPJ [nº].</w:t>
        <w:br/>
        <w:br/>
        <w:t xml:space="preserve">1. Fatos: [síntese, com datas e documentos SEI].</w:t>
        <w:br/>
        <w:t xml:space="preserve">2. Enquadramento em tese: art. 155, [inciso], da Lei nº 14.133/2021 e art. 5º, [inciso e alínea], da Lei nº 12.846/2013.</w:t>
        <w:br/>
        <w:t xml:space="preserve">3. Primeira ciência pela Administração: [data] (doc. [nº]). Prescrição estimada: [data].</w:t>
        <w:br/>
        <w:t xml:space="preserve">4. Provas preservadas: [lista].</w:t>
        <w:br/>
        <w:t xml:space="preserve">5. Medidas contratuais já adotadas: [notificações, glosa, retenção, extinção, aviso ao garantidor].</w:t>
        <w:br/>
        <w:br/>
        <w:t xml:space="preserve">A SUGESP não instaurará processo sancionatório sobre os mesmos fatos, para permitir a apuração conjunta. Solicito manifestação sobre a instauração em até [30] dias, em razão do prazo prescricional, e coloco a fiscalização à disposição da instrução.</w:t>
        <w:br/>
        <w:br/>
        <w:t xml:space="preserve">[Local], [data].</w:t>
        <w:br/>
        <w:t xml:space="preserve">[Superintendente]</w:t>
      </w:r>
    </w:p>
    <w:p>
      <w:pPr>
        <w:pStyle w:val="Heading3"/>
      </w:pPr>
      <w:r>
        <w:t xml:space="preserve">21.21 Ofício à CGE para registro de sanção</w:t>
      </w:r>
    </w:p>
    <w:p>
      <w:pPr>
        <w:pStyle w:val="Code"/>
      </w:pPr>
      <w:bookmarkStart w:id="22" w:name="bongo_lang_text_22"/>
      <w:bookmarkEnd w:id="22"/>
      <w:r>
        <w:t xml:space="preserve">OFÍCIO Nº [nº]/[ano]/SUGESP-GCONV</w:t>
        <w:br/>
        <w:br/>
        <w:t xml:space="preserve">À Controladoria-Geral do Estado — [unidade responsável pelo cadastro estadual de empresas punidas].</w:t>
        <w:br/>
        <w:t xml:space="preserve">Assunto: registro de sanção — Lei nº 14.133/2021, art. 161; Decreto nº 28.874/2024, art. 186, p.ú., III.</w:t>
        <w:br/>
        <w:br/>
        <w:t xml:space="preserve">Informo, para registro no cadastro estadual e no Ceis, a sanção definitiva em [data] (certidão doc. SEI [nº]):</w:t>
        <w:br/>
        <w:t xml:space="preserve">Sancionada: [razão social], CNPJ [nº]. Processo SEI: [nº]. Contrato/Edital: [nº]. Infração: art. 155, [inciso]. Sanção: [advertência/multa/impedimento/inidoneidade], [nº] meses, de [data] a [data]; abrangência: [ ]. Multa: R$ [ ]. Autoridade: [ ]. Decisão: doc. SEI [nº]. Extrato: DOE nº [nº], de [data] [ou "em publicação"].</w:t>
        <w:br/>
        <w:br/>
        <w:t xml:space="preserve">Solicito confirmação do registro, para controle do prazo de 15 dias úteis.</w:t>
        <w:br/>
        <w:br/>
        <w:t xml:space="preserve">[Local], [data]. [Gerente da GCONV]</w:t>
      </w:r>
    </w:p>
    <w:p>
      <w:pPr>
        <w:pStyle w:val="Heading3"/>
      </w:pPr>
      <w:r>
        <w:t xml:space="preserve">21.22 Despachos da inidoneidade</w:t>
      </w:r>
    </w:p>
    <w:p>
      <w:pPr>
        <w:pStyle w:val="Code"/>
      </w:pPr>
      <w:bookmarkStart w:id="23" w:name="bongo_lang_text_23"/>
      <w:bookmarkEnd w:id="23"/>
      <w:r>
        <w:t xml:space="preserve">DESPACHO (1) — Concluído o relatório final (doc. SEI [nº]), que propõe declarar a inidoneidade de [ ] por [nº] meses, encaminho os autos à Procuradoria-Geral do Estado para análise jurídica prévia (Lei 14.133, art. 156, § 6º; Dec. 28.874, art. 186, p.ú., II).</w:t>
        <w:br/>
        <w:br/>
        <w:t xml:space="preserve">DESPACHO (2) — Recebido o Parecer nº [nº] (doc. SEI [nº]), [FORMO juízo de reprovabilidade para a inidoneidade, (concordante / com as seguintes divergências: ...). Não detendo esta autoridade status de Secretário de Estado (LC nº 965/2017, art. 171, § 1º), REMETO os autos à autoridade competente para a declaração de inidoneidade (Lei nº 14.133/2021, art. 156, § 6º, I; Dec. 28.874, art. 186, p.ú., I), para decisão sobre todas as sanções do caso, com minuta de decisão anexa.] / [NÃO FORMO juízo de reprovabilidade para a inidoneidade, porque (...), e passo a decidir a sanção cabível (modelo 21.7).]</w:t>
        <w:br/>
        <w:br/>
        <w:t xml:space="preserve">[Local], [data]. [Superintendente]</w:t>
      </w:r>
    </w:p>
    <w:p>
      <w:pPr>
        <w:pStyle w:val="Heading3"/>
      </w:pPr>
      <w:r>
        <w:t xml:space="preserve">21.23 Edital de intimação</w:t>
      </w:r>
    </w:p>
    <w:p>
      <w:pPr>
        <w:pStyle w:val="Code"/>
      </w:pPr>
      <w:bookmarkStart w:id="24" w:name="bongo_lang_text_24"/>
      <w:bookmarkEnd w:id="24"/>
      <w:r>
        <w:t xml:space="preserve">EDITAL DE INTIMAÇÃO Nº [nº]/[ano]/SUGESP</w:t>
        <w:br/>
        <w:br/>
        <w:t xml:space="preserve">A Superintendência Estadual de Gestão dos Gastos Públicos Administrativos, frustradas as tentativas de intimação certificadas no Processo SEI nº [nº] (Decreto nº 28.874/2024, art. 184, § 3º; Lei estadual nº 3.830/2016, art. 44, § 3º), INTIMA [razão social], CNPJ [nº], a [apresentar defesa / tomar ciência de decisão], no prazo de 15 dias úteis, no processo referente ao [Contrato/Edital] nº [nº]. Vista e cópia dos autos: [e-mail/endereço/horário].</w:t>
        <w:br/>
        <w:br/>
        <w:t xml:space="preserve">[Local], [data]. [Autoridade]</w:t>
      </w:r>
    </w:p>
    <w:p>
      <w:pPr/>
      <w:r>
        <w:t xml:space="preserve">Não descreva os fatos no edital. Conte o prazo a partir do primeiro dia útil seguinte à publicação, critério a confirmar com a Assessoria Jurídica.</w:t>
      </w:r>
    </w:p>
    <w:p>
      <w:pPr>
        <w:pStyle w:val="Heading3"/>
      </w:pPr>
      <w:r>
        <w:t xml:space="preserve">21.24 Ofício de diligência ao emissor de atestado</w:t>
      </w:r>
    </w:p>
    <w:p>
      <w:pPr>
        <w:pStyle w:val="Code"/>
      </w:pPr>
      <w:bookmarkStart w:id="25" w:name="bongo_lang_text_25"/>
      <w:bookmarkEnd w:id="25"/>
      <w:r>
        <w:t xml:space="preserve">OFÍCIO Nº [nº]/[ano]/SUGESP-[GCOM/unidade]</w:t>
        <w:br/>
        <w:br/>
        <w:t xml:space="preserve">A [emissor]. Assunto: confirmação de atestado de capacidade técnica — [Pregão/Processo SEI nº].</w:t>
        <w:br/>
        <w:br/>
        <w:t xml:space="preserve">Solicito que, em até [5] dias úteis, Vossa Senhoria informe: a) se o documento anexo, datado de [ ] e assinado por [ ], foi emitido por essa [entidade/empresa]; b) se o objeto descrito foi executado por [razão social], CNPJ [nº], no período, quantidade e características indicados; c) o número do contrato, da nota fiscal ou do empenho correspondente. Resposta para [e-mail].</w:t>
        <w:br/>
        <w:br/>
        <w:t xml:space="preserve">Fundamento: Lei nº 14.133/2021, art. 64.</w:t>
        <w:br/>
        <w:br/>
        <w:t xml:space="preserve">[Local], [data]. [Agente de contratação / GCOM]</w:t>
      </w:r>
    </w:p>
    <w:p>
      <w:pPr/>
      <w:r>
        <w:t xml:space="preserve">Junte certidão das tentativas (e-mail, telefone, reiteração). O silêncio não deve ser lido como negativa.</w:t>
      </w:r>
    </w:p>
    <w:p>
      <w:pPr>
        <w:pStyle w:val="Heading3"/>
      </w:pPr>
      <w:r>
        <w:t xml:space="preserve">21.25 Comunicação aos gestores de outros contratos</w:t>
      </w:r>
    </w:p>
    <w:p>
      <w:pPr>
        <w:pStyle w:val="Code"/>
      </w:pPr>
      <w:bookmarkStart w:id="26" w:name="bongo_lang_text_26"/>
      <w:bookmarkEnd w:id="26"/>
      <w:r>
        <w:t xml:space="preserve">MEMORANDO — Para: gestores dos Contratos nº [lista].</w:t>
        <w:br/>
        <w:br/>
        <w:t xml:space="preserve">Comunico que a [razão social], CNPJ [nº], recebeu sanção definitiva de [ ] em [data] (doc. SEI [nº]), vigente de [ ] a [ ]. A sanção não extingue automaticamente os contratos em curso (seção 6.6 do Manual). Solicito avaliação motivada, em [10] dias úteis, sobre a continuidade e sobre eventual prorrogação de cada contrato.</w:t>
        <w:br/>
        <w:br/>
        <w:t xml:space="preserve">[Local], [data]. [Gerente da GCONV]</w:t>
      </w:r>
    </w:p>
    <w:p>
      <w:pPr>
        <w:pStyle w:val="Heading2"/>
      </w:pPr>
      <w:r>
        <w:t xml:space="preserve">22. Perguntas frequentes</w:t>
      </w:r>
    </w:p>
    <w:p>
      <w:pPr/>
      <w:r>
        <w:rPr>
          <w:b/>
        </w:rPr>
        <w:t xml:space="preserve">Posso descontar a multa direto da nota fiscal, sem processo?</w:t>
      </w:r>
      <w:r>
        <w:t xml:space="preserve"> Não. Toda multa exige intimação e prazo de 15 dias úteis para defesa (art. 157). Glosa por serviço não prestado é outra coisa: recompõe o pagamento e também exige memória de cálculo própria, intimação e prazo para manifestação antes do desconto.</w:t>
      </w:r>
    </w:p>
    <w:p>
      <w:pPr/>
      <w:r>
        <w:rPr>
          <w:b/>
        </w:rPr>
        <w:t xml:space="preserve">A notificação do fiscal com prazo de 5 dias já vale como defesa?</w:t>
      </w:r>
      <w:r>
        <w:t xml:space="preserve"> Não. Ela é gestão contratual e serve como prova. A defesa sobre a sanção vem depois, com prazo de 15 dias úteis.</w:t>
      </w:r>
    </w:p>
    <w:p>
      <w:pPr/>
      <w:r>
        <w:rPr>
          <w:b/>
        </w:rPr>
        <w:t xml:space="preserve">Advertência precisa de processo?</w:t>
      </w:r>
      <w:r>
        <w:t xml:space="preserve"> Sim. É sanção, gera antecedente e admite recurso. Use o rito simplificado.</w:t>
      </w:r>
    </w:p>
    <w:p>
      <w:pPr/>
      <w:r>
        <w:rPr>
          <w:b/>
        </w:rPr>
        <w:t xml:space="preserve">Posso aplicar advertência ou multa depois que o contrato acabou?</w:t>
      </w:r>
      <w:r>
        <w:t xml:space="preserve"> Sim. A lei não vincula a sanção à vigência do contrato. O limite é a prescrição de 5 anos da ciência da infração.</w:t>
      </w:r>
    </w:p>
    <w:p>
      <w:pPr/>
      <w:r>
        <w:rPr>
          <w:b/>
        </w:rPr>
        <w:t xml:space="preserve">A empresa impedida pela SUGESP pode contratar com um município de Rondônia?</w:t>
      </w:r>
      <w:r>
        <w:t xml:space="preserve"> Pode. O impedimento alcança só a Administração direta e indireta do Estado de Rondônia (art. 156, § 4º). Já a inidoneidade alcança todos os entes.</w:t>
      </w:r>
    </w:p>
    <w:p>
      <w:pPr/>
      <w:r>
        <w:rPr>
          <w:b/>
        </w:rPr>
        <w:t xml:space="preserve">Uma empresa impedida por outro estado pode licitar na SUGESP?</w:t>
      </w:r>
      <w:r>
        <w:t xml:space="preserve"> Pode, porque o impedimento de outro ente não alcança Rondônia. Se for inidoneidade, de qualquer ente, não pode. Consulte sempre o Ceis e o Cnep, e também as declarações de inidoneidade do TCE-RO, que alcançam o Estado e os municípios de Rondônia (APL-TC 00147/25).</w:t>
      </w:r>
    </w:p>
    <w:p>
      <w:pPr/>
      <w:r>
        <w:rPr>
          <w:b/>
        </w:rPr>
        <w:t xml:space="preserve">Temos contrato com empresa que acaba de ser declarada inidônea. Rescindimos?</w:t>
      </w:r>
      <w:r>
        <w:t xml:space="preserve"> Não automaticamente. A sanção vale para o futuro. Avalie e motive se a extinção é necessária ao interesse público, com contraditório próprio, e não prorrogue o contrato (Lei 14.133, art. 91, § 4º).</w:t>
      </w:r>
    </w:p>
    <w:p>
      <w:pPr/>
      <w:r>
        <w:rPr>
          <w:b/>
        </w:rPr>
        <w:t xml:space="preserve">O valor da multa é pequeno. Posso não instaurar?</w:t>
      </w:r>
      <w:r>
        <w:t xml:space="preserve"> Não por esse motivo. O TCU exige apuração independentemente de prejuízo (Acórdão 316/2024-Plenário). A baixa gravidade se resolve com advertência ou multa mínima.</w:t>
      </w:r>
    </w:p>
    <w:p>
      <w:pPr/>
      <w:r>
        <w:rPr>
          <w:b/>
        </w:rPr>
        <w:t xml:space="preserve">Posso cumular multa de mora e multa compensatória?</w:t>
      </w:r>
      <w:r>
        <w:t xml:space="preserve"> Pelo mesmo fato e período, não. Ao converter a mora em compensatória (art. 162, p.ú.), deduza o que já foi aplicado a título de mora, salvo regra contratual expressa e motivada em sentido diverso.</w:t>
      </w:r>
    </w:p>
    <w:p>
      <w:pPr/>
      <w:r>
        <w:rPr>
          <w:b/>
        </w:rPr>
        <w:t xml:space="preserve">A empresa pediu mais prazo para a defesa. Posso conceder?</w:t>
      </w:r>
      <w:r>
        <w:t xml:space="preserve"> Excepcionalmente, por decisão motivada, e o mesmo critério deve valer para casos iguais. Nunca reduza o prazo legal.</w:t>
      </w:r>
    </w:p>
    <w:p>
      <w:pPr/>
      <w:r>
        <w:rPr>
          <w:b/>
        </w:rPr>
        <w:t xml:space="preserve">Não conseguimos localizar a empresa. E agora?</w:t>
      </w:r>
      <w:r>
        <w:t xml:space="preserve"> Tente o e-mail do contrato, o endereço contratual e o da Receita Federal, com certidão de cada tentativa. Frustradas as tentativas, intime por edital no DOE (Dec. 28.874, art. 184, § 3º).</w:t>
      </w:r>
    </w:p>
    <w:p>
      <w:pPr/>
      <w:r>
        <w:rPr>
          <w:b/>
        </w:rPr>
        <w:t xml:space="preserve">O licitante justificou a desistência na sessão. O pregoeiro deve noticiar mesmo assim?</w:t>
      </w:r>
      <w:r>
        <w:t xml:space="preserve"> Deve registrar a justificativa em ata e comunicar. Quem avalia se o fato superveniente afasta a infração é a autoridade que decide abrir ou arquivar, não o pregoeiro.</w:t>
      </w:r>
    </w:p>
    <w:p>
      <w:pPr/>
      <w:r>
        <w:rPr>
          <w:b/>
        </w:rPr>
        <w:t xml:space="preserve">Posso fazer um termo de ajustamento de conduta em vez de punir?</w:t>
      </w:r>
      <w:r>
        <w:t xml:space="preserve"> O Decreto 28.874/2024 não regula esse instrumento. O art. 26 da LINDB admite compromisso para eliminar irregularidade, com oitiva jurídica prévia e publicação. Só o use com parecer da PGE e sem renunciar a sanção já devida. Acordos que encerram o contrato precisam de motivação reforçada (APL-TC 00111/25).</w:t>
      </w:r>
    </w:p>
    <w:p>
      <w:pPr/>
      <w:r>
        <w:rPr>
          <w:b/>
        </w:rPr>
        <w:t xml:space="preserve">O recurso suspende a cobrança da multa e o registro no Ceis?</w:t>
      </w:r>
      <w:r>
        <w:t xml:space="preserve"> Sim. Recurso e pedido de reconsideração têm efeito suspensivo (art. 168). Execute e registre só após a certidão de definitividade.</w:t>
      </w:r>
    </w:p>
    <w:p>
      <w:pPr/>
      <w:r>
        <w:rPr>
          <w:b/>
        </w:rPr>
        <w:t xml:space="preserve">A empresa pagou a multa. Precisa pedir reabilitação?</w:t>
      </w:r>
      <w:r>
        <w:t xml:space="preserve"> Não. Reabilitação só se aplica a impedimento e inidoneidade.</w:t>
      </w:r>
    </w:p>
    <w:p>
      <w:pPr/>
      <w:r>
        <w:rPr>
          <w:b/>
        </w:rPr>
        <w:t xml:space="preserve">A CEAP pode conduzir o processo contra a empresa?</w:t>
      </w:r>
      <w:r>
        <w:t xml:space="preserve"> Não. A CEAP apura conduta de servidores (Portaria nº 162/2024). Contra a empresa atuam a fiscalização, o condutor designado ou a comissão processante; nos atos lesivos, a CGE.</w:t>
      </w:r>
    </w:p>
    <w:p>
      <w:pPr/>
      <w:r>
        <w:rPr>
          <w:b/>
        </w:rPr>
        <w:t xml:space="preserve">O contrato é de 2020, ainda da Lei 8.666. Uso este manual?</w:t>
      </w:r>
      <w:r>
        <w:t xml:space="preserve"> Use o rito e as garantias como boa prática, mas as infrações e sanções são as da lei antiga (Lei 14.133, art. 190). Não combine os regimes.</w:t>
      </w:r>
    </w:p>
    <w:p>
      <w:pPr/>
      <w:r>
        <w:rPr>
          <w:b/>
        </w:rPr>
        <w:t xml:space="preserve">A empresa corrigiu a falha no prazo da notificação. Preciso abrir processo?</w:t>
      </w:r>
      <w:r>
        <w:t xml:space="preserve"> Nem sempre. Veja os três gatilhos da seção 9.2: prejuízo, repetição ou multa por ocorrência prevista no contrato. Fora deles, registre em despacho a decisão motivada de não instaurar.</w:t>
      </w:r>
    </w:p>
    <w:p>
      <w:pPr/>
      <w:r>
        <w:rPr>
          <w:b/>
        </w:rPr>
        <w:t xml:space="preserve">A empresa entrou em recuperação judicial. O processo para?</w:t>
      </w:r>
      <w:r>
        <w:t xml:space="preserve"> Não. A recuperação não impede a sanção; a cobrança segue a Lei 11.101/2005 e cabe à PGE (seção 15.3).</w:t>
      </w:r>
    </w:p>
    <w:p>
      <w:pPr/>
      <w:r>
        <w:rPr>
          <w:b/>
        </w:rPr>
        <w:t xml:space="preserve">A empresa entregou a defesa fora do prazo. Ignoro?</w:t>
      </w:r>
      <w:r>
        <w:t xml:space="preserve"> Não. Junte e examine como alegação, se chegar antes da decisão (seção 11.4).</w:t>
      </w:r>
    </w:p>
    <w:p>
      <w:pPr>
        <w:pStyle w:val="Heading2"/>
      </w:pPr>
      <w:r>
        <w:t xml:space="preserve">23. Glossário</w:t>
      </w:r>
    </w:p>
    <w:p>
      <w:pPr>
        <w:pStyle w:val="ListParagraph"/>
        <w:numPr>
          <w:ilvl w:val="0"/>
          <w:numId w:val="40"/>
        </w:numPr>
      </w:pPr>
      <w:r>
        <w:rPr>
          <w:b/>
        </w:rPr>
        <w:t xml:space="preserve">Adjudicatário / arrematante:</w:t>
      </w:r>
      <w:r>
        <w:t xml:space="preserve"> licitante a quem o objeto foi atribuído / licitante que deu o melhor lance no pregão.</w:t>
      </w:r>
    </w:p>
    <w:p>
      <w:pPr>
        <w:pStyle w:val="ListParagraph"/>
        <w:numPr>
          <w:ilvl w:val="0"/>
          <w:numId w:val="40"/>
        </w:numPr>
      </w:pPr>
      <w:r>
        <w:rPr>
          <w:b/>
        </w:rPr>
        <w:t xml:space="preserve">Autoria e materialidade:</w:t>
      </w:r>
      <w:r>
        <w:t xml:space="preserve"> prova de quem praticou o fato / prova de que o fato aconteceu.</w:t>
      </w:r>
    </w:p>
    <w:p>
      <w:pPr>
        <w:pStyle w:val="ListParagraph"/>
        <w:numPr>
          <w:ilvl w:val="0"/>
          <w:numId w:val="40"/>
        </w:numPr>
      </w:pPr>
      <w:r>
        <w:rPr>
          <w:b/>
        </w:rPr>
        <w:t xml:space="preserve">Avocar:</w:t>
      </w:r>
      <w:r>
        <w:t xml:space="preserve"> autoridade superior chamar para si um processo que estava com outra.</w:t>
      </w:r>
    </w:p>
    <w:p>
      <w:pPr>
        <w:pStyle w:val="ListParagraph"/>
        <w:numPr>
          <w:ilvl w:val="0"/>
          <w:numId w:val="40"/>
        </w:numPr>
      </w:pPr>
      <w:r>
        <w:rPr>
          <w:b/>
        </w:rPr>
        <w:t xml:space="preserve">Definitividade:</w:t>
      </w:r>
      <w:r>
        <w:t xml:space="preserve"> momento em que não cabe mais recurso; só a partir daí a sanção é executada e registrada.</w:t>
      </w:r>
    </w:p>
    <w:p>
      <w:pPr>
        <w:pStyle w:val="ListParagraph"/>
        <w:numPr>
          <w:ilvl w:val="0"/>
          <w:numId w:val="40"/>
        </w:numPr>
      </w:pPr>
      <w:r>
        <w:rPr>
          <w:b/>
        </w:rPr>
        <w:t xml:space="preserve">Dosimetria:</w:t>
      </w:r>
      <w:r>
        <w:t xml:space="preserve"> escolha da sanção e da sua medida (valor, prazo), com cálculo que outra pessoa consiga refazer.</w:t>
      </w:r>
    </w:p>
    <w:p>
      <w:pPr>
        <w:pStyle w:val="ListParagraph"/>
        <w:numPr>
          <w:ilvl w:val="0"/>
          <w:numId w:val="40"/>
        </w:numPr>
      </w:pPr>
      <w:r>
        <w:rPr>
          <w:b/>
        </w:rPr>
        <w:t xml:space="preserve">Efeito suspensivo:</w:t>
      </w:r>
      <w:r>
        <w:t xml:space="preserve"> enquanto o recurso não é julgado, a sanção não produz efeitos.</w:t>
      </w:r>
    </w:p>
    <w:p>
      <w:pPr>
        <w:pStyle w:val="ListParagraph"/>
        <w:numPr>
          <w:ilvl w:val="0"/>
          <w:numId w:val="40"/>
        </w:numPr>
      </w:pPr>
      <w:r>
        <w:rPr>
          <w:b/>
        </w:rPr>
        <w:t xml:space="preserve">Elemento do tipo:</w:t>
      </w:r>
      <w:r>
        <w:t xml:space="preserve"> parte da descrição legal da infração; por isso não pode ser usada de novo como agravante.</w:t>
      </w:r>
    </w:p>
    <w:p>
      <w:pPr>
        <w:pStyle w:val="ListParagraph"/>
        <w:numPr>
          <w:ilvl w:val="0"/>
          <w:numId w:val="40"/>
        </w:numPr>
      </w:pPr>
      <w:r>
        <w:rPr>
          <w:b/>
        </w:rPr>
        <w:t xml:space="preserve">Enquadramento:</w:t>
      </w:r>
      <w:r>
        <w:t xml:space="preserve"> indicação do inciso do art. 155 e da cláusula contratual em que o fato se encaixa.</w:t>
      </w:r>
    </w:p>
    <w:p>
      <w:pPr>
        <w:pStyle w:val="ListParagraph"/>
        <w:numPr>
          <w:ilvl w:val="0"/>
          <w:numId w:val="40"/>
        </w:numPr>
      </w:pPr>
      <w:r>
        <w:rPr>
          <w:b/>
        </w:rPr>
        <w:t xml:space="preserve">Excludentes:</w:t>
      </w:r>
      <w:r>
        <w:t xml:space="preserve"> situações que afastam a infração (caso fortuito, força maior, fato da Administração, fato superveniente justificado).</w:t>
      </w:r>
    </w:p>
    <w:p>
      <w:pPr>
        <w:pStyle w:val="ListParagraph"/>
        <w:numPr>
          <w:ilvl w:val="0"/>
          <w:numId w:val="40"/>
        </w:numPr>
      </w:pPr>
      <w:r>
        <w:rPr>
          <w:b/>
        </w:rPr>
        <w:t xml:space="preserve">Glosa:</w:t>
      </w:r>
      <w:r>
        <w:t xml:space="preserve"> desconto do que foi faturado sem a correspondente execução. Não é sanção.</w:t>
      </w:r>
    </w:p>
    <w:p>
      <w:pPr>
        <w:pStyle w:val="ListParagraph"/>
        <w:numPr>
          <w:ilvl w:val="0"/>
          <w:numId w:val="40"/>
        </w:numPr>
      </w:pPr>
      <w:r>
        <w:rPr>
          <w:b/>
        </w:rPr>
        <w:t xml:space="preserve">IMR:</w:t>
      </w:r>
      <w:r>
        <w:t xml:space="preserve"> instrumento de medição de resultado; ajusta o pagamento ao nível de serviço. Não é sanção.</w:t>
      </w:r>
    </w:p>
    <w:p>
      <w:pPr>
        <w:pStyle w:val="ListParagraph"/>
        <w:numPr>
          <w:ilvl w:val="0"/>
          <w:numId w:val="40"/>
        </w:numPr>
      </w:pPr>
      <w:r>
        <w:rPr>
          <w:b/>
        </w:rPr>
        <w:t xml:space="preserve">Juízo de retratação:</w:t>
      </w:r>
      <w:r>
        <w:t xml:space="preserve"> chance de quem decidiu rever a própria decisão, em 5 dias úteis, antes de o recurso subir.</w:t>
      </w:r>
    </w:p>
    <w:p>
      <w:pPr>
        <w:pStyle w:val="ListParagraph"/>
        <w:numPr>
          <w:ilvl w:val="0"/>
          <w:numId w:val="40"/>
        </w:numPr>
      </w:pPr>
      <w:r>
        <w:rPr>
          <w:b/>
        </w:rPr>
        <w:t xml:space="preserve">Nexo:</w:t>
      </w:r>
      <w:r>
        <w:t xml:space="preserve"> ligação entre a conduta da empresa e o resultado.</w:t>
      </w:r>
    </w:p>
    <w:p>
      <w:pPr>
        <w:pStyle w:val="ListParagraph"/>
        <w:numPr>
          <w:ilvl w:val="0"/>
          <w:numId w:val="40"/>
        </w:numPr>
      </w:pPr>
      <w:r>
        <w:rPr>
          <w:b/>
        </w:rPr>
        <w:t xml:space="preserve">Non bis in idem:</w:t>
      </w:r>
      <w:r>
        <w:t xml:space="preserve"> o mesmo fato não pode ser punido duas vezes com sanção da mesma natureza.</w:t>
      </w:r>
    </w:p>
    <w:p>
      <w:pPr>
        <w:pStyle w:val="ListParagraph"/>
        <w:numPr>
          <w:ilvl w:val="0"/>
          <w:numId w:val="40"/>
        </w:numPr>
      </w:pPr>
      <w:r>
        <w:rPr>
          <w:b/>
        </w:rPr>
        <w:t xml:space="preserve">PAR:</w:t>
      </w:r>
      <w:r>
        <w:t xml:space="preserve"> processo administrativo de responsabilização da Lei Anticorrupção (Lei 12.846), conduzido pela CGE. Não confundir com o processo com comissão da Lei 14.133.</w:t>
      </w:r>
    </w:p>
    <w:p>
      <w:pPr>
        <w:pStyle w:val="ListParagraph"/>
        <w:numPr>
          <w:ilvl w:val="0"/>
          <w:numId w:val="40"/>
        </w:numPr>
      </w:pPr>
      <w:r>
        <w:rPr>
          <w:b/>
        </w:rPr>
        <w:t xml:space="preserve">Prescrição:</w:t>
      </w:r>
      <w:r>
        <w:t xml:space="preserve"> perda do direito de punir pelo decurso de 5 anos desde a ciência do fato.</w:t>
      </w:r>
    </w:p>
    <w:p>
      <w:pPr>
        <w:pStyle w:val="ListParagraph"/>
        <w:numPr>
          <w:ilvl w:val="0"/>
          <w:numId w:val="40"/>
        </w:numPr>
      </w:pPr>
      <w:r>
        <w:rPr>
          <w:b/>
        </w:rPr>
        <w:t xml:space="preserve">Prova emprestada:</w:t>
      </w:r>
      <w:r>
        <w:t xml:space="preserve"> prova produzida em outro processo e trazida para este, com direito de a empresa se manifestar.</w:t>
      </w:r>
    </w:p>
    <w:p>
      <w:pPr>
        <w:pStyle w:val="ListParagraph"/>
        <w:numPr>
          <w:ilvl w:val="0"/>
          <w:numId w:val="40"/>
        </w:numPr>
      </w:pPr>
      <w:r>
        <w:rPr>
          <w:b/>
        </w:rPr>
        <w:t xml:space="preserve">Revelia:</w:t>
      </w:r>
      <w:r>
        <w:t xml:space="preserve"> ausência de defesa; não torna os fatos verdadeiros.</w:t>
      </w:r>
    </w:p>
    <w:p>
      <w:pPr>
        <w:pStyle w:val="ListParagraph"/>
        <w:numPr>
          <w:ilvl w:val="0"/>
          <w:numId w:val="40"/>
        </w:numPr>
      </w:pPr>
      <w:r>
        <w:rPr>
          <w:b/>
        </w:rPr>
        <w:t xml:space="preserve">Sanção em tese:</w:t>
      </w:r>
      <w:r>
        <w:t xml:space="preserve"> sanção que poderá ser aplicada se os fatos se confirmarem; informada no início sem antecipar culpa.</w:t>
      </w:r>
    </w:p>
    <w:p>
      <w:pPr>
        <w:pStyle w:val="ListParagraph"/>
        <w:numPr>
          <w:ilvl w:val="0"/>
          <w:numId w:val="40"/>
        </w:numPr>
      </w:pPr>
      <w:r>
        <w:rPr>
          <w:b/>
        </w:rPr>
        <w:t xml:space="preserve">Sobrestamento:</w:t>
      </w:r>
      <w:r>
        <w:t xml:space="preserve"> suspensão motivada do andamento do processo.</w:t>
      </w:r>
    </w:p>
    <w:p>
      <w:pPr>
        <w:pStyle w:val="ListParagraph"/>
        <w:numPr>
          <w:ilvl w:val="0"/>
          <w:numId w:val="40"/>
        </w:numPr>
      </w:pPr>
      <w:r>
        <w:rPr>
          <w:b/>
        </w:rPr>
        <w:t xml:space="preserve">Tipicidade:</w:t>
      </w:r>
      <w:r>
        <w:t xml:space="preserve"> exigência de que a conduta esteja descrita na lei como infração.</w:t>
      </w:r>
    </w:p>
    <w:p>
      <w:pPr>
        <w:pStyle w:val="Heading2"/>
      </w:pPr>
      <w:r>
        <w:t xml:space="preserve">24. Fontes consultadas</w:t>
      </w:r>
    </w:p>
    <w:p>
      <w:pPr/>
      <w:r>
        <w:t xml:space="preserve">Textos normativos conferidos nas versões oficiais em 5 e 6 de outubro de 2026. O texto foi revisado por dois pareceres especializados, um jurídico e um operacional, em 6 de outubro de 2026. A jurisprudência do TCE-RO foi conferida no inteiro teor oficial (links na seção 18).</w:t>
      </w:r>
    </w:p>
    <w:p>
      <w:pPr/>
      <w:r>
        <w:rPr>
          <w:b/>
        </w:rPr>
        <w:t xml:space="preserve">Normas</w:t>
      </w:r>
    </w:p>
    <w:p>
      <w:pPr>
        <w:pStyle w:val="ListParagraph"/>
        <w:numPr>
          <w:ilvl w:val="0"/>
          <w:numId w:val="41"/>
        </w:numPr>
      </w:pPr>
      <w:hyperlink r:id="rId4" w:history="1">
        <w:r>
          <w:rPr>
            <w:rStyle w:val="Hyperlink"/>
          </w:rPr>
          <w:t xml:space="preserve">Lei nº 14.133/2021 — Planalto</w:t>
        </w:r>
      </w:hyperlink>
    </w:p>
    <w:p>
      <w:pPr>
        <w:pStyle w:val="ListParagraph"/>
        <w:numPr>
          <w:ilvl w:val="0"/>
          <w:numId w:val="41"/>
        </w:numPr>
      </w:pPr>
      <w:hyperlink r:id="rId6" w:history="1">
        <w:r>
          <w:rPr>
            <w:rStyle w:val="Hyperlink"/>
          </w:rPr>
          <w:t xml:space="preserve">Decreto estadual nº 28.874/2024 — DOE nº 17, de 25/1/2024</w:t>
        </w:r>
      </w:hyperlink>
      <w:r>
        <w:t xml:space="preserve"> e </w:t>
      </w:r>
      <w:hyperlink r:id="rId22" w:history="1">
        <w:r>
          <w:rPr>
            <w:rStyle w:val="Hyperlink"/>
          </w:rPr>
          <w:t xml:space="preserve">texto compilado na DITEL</w:t>
        </w:r>
      </w:hyperlink>
    </w:p>
    <w:p>
      <w:pPr>
        <w:pStyle w:val="ListParagraph"/>
        <w:numPr>
          <w:ilvl w:val="0"/>
          <w:numId w:val="41"/>
        </w:numPr>
      </w:pPr>
      <w:hyperlink r:id="rId8" w:history="1">
        <w:r>
          <w:rPr>
            <w:rStyle w:val="Hyperlink"/>
          </w:rPr>
          <w:t xml:space="preserve">Decreto estadual nº 23.907/2019 — regulamenta a Lei 12.846 em Rondônia (PAR)</w:t>
        </w:r>
      </w:hyperlink>
    </w:p>
    <w:p>
      <w:pPr>
        <w:pStyle w:val="ListParagraph"/>
        <w:numPr>
          <w:ilvl w:val="0"/>
          <w:numId w:val="41"/>
        </w:numPr>
      </w:pPr>
      <w:hyperlink r:id="rId7" w:history="1">
        <w:r>
          <w:rPr>
            <w:rStyle w:val="Hyperlink"/>
          </w:rPr>
          <w:t xml:space="preserve">Decreto nº 26.905/2022 — Regimento Interno da SUGESP</w:t>
        </w:r>
      </w:hyperlink>
    </w:p>
    <w:p>
      <w:pPr>
        <w:pStyle w:val="ListParagraph"/>
        <w:numPr>
          <w:ilvl w:val="0"/>
          <w:numId w:val="41"/>
        </w:numPr>
      </w:pPr>
      <w:hyperlink r:id="rId5" w:history="1">
        <w:r>
          <w:rPr>
            <w:rStyle w:val="Hyperlink"/>
          </w:rPr>
          <w:t xml:space="preserve">Lei estadual nº 3.830/2016 — processo administrativo em Rondônia</w:t>
        </w:r>
      </w:hyperlink>
    </w:p>
    <w:p>
      <w:pPr>
        <w:pStyle w:val="ListParagraph"/>
        <w:numPr>
          <w:ilvl w:val="0"/>
          <w:numId w:val="41"/>
        </w:numPr>
      </w:pPr>
      <w:r>
        <w:t xml:space="preserve">Lei Complementar estadual nº 965/2017 (texto compilado), arts. 89, 113, 171 e 172, com as alterações da LC nº 1.180/2023</w:t>
      </w:r>
    </w:p>
    <w:p>
      <w:pPr>
        <w:pStyle w:val="ListParagraph"/>
        <w:numPr>
          <w:ilvl w:val="0"/>
          <w:numId w:val="41"/>
        </w:numPr>
      </w:pPr>
      <w:hyperlink r:id="rId23" w:history="1">
        <w:r>
          <w:rPr>
            <w:rStyle w:val="Hyperlink"/>
          </w:rPr>
          <w:t xml:space="preserve">Portaria nº 162/2024 — CEAP da SUGESP, DOE nº 157</w:t>
        </w:r>
      </w:hyperlink>
    </w:p>
    <w:p>
      <w:pPr>
        <w:pStyle w:val="ListParagraph"/>
        <w:numPr>
          <w:ilvl w:val="0"/>
          <w:numId w:val="41"/>
        </w:numPr>
      </w:pPr>
      <w:hyperlink r:id="rId24" w:history="1">
        <w:r>
          <w:rPr>
            <w:rStyle w:val="Hyperlink"/>
          </w:rPr>
          <w:t xml:space="preserve">Lei nº 12.846/2013 — Lei Anticorrupção</w:t>
        </w:r>
      </w:hyperlink>
    </w:p>
    <w:p>
      <w:pPr>
        <w:pStyle w:val="ListParagraph"/>
        <w:numPr>
          <w:ilvl w:val="0"/>
          <w:numId w:val="41"/>
        </w:numPr>
      </w:pPr>
      <w:hyperlink r:id="rId25" w:history="1">
        <w:r>
          <w:rPr>
            <w:rStyle w:val="Hyperlink"/>
          </w:rPr>
          <w:t xml:space="preserve">Decreto-Lei nº 4.657/1942 — LINDB</w:t>
        </w:r>
      </w:hyperlink>
    </w:p>
    <w:p>
      <w:pPr>
        <w:pStyle w:val="ListParagraph"/>
        <w:numPr>
          <w:ilvl w:val="0"/>
          <w:numId w:val="41"/>
        </w:numPr>
      </w:pPr>
      <w:r>
        <w:t xml:space="preserve">Lei nº 4.320/1964 (dívida ativa), Lei nº 11.101/2005 (recuperação judicial e falência) e Lei nº 12.527/2011 (acesso à informação)</w:t>
      </w:r>
    </w:p>
    <w:p>
      <w:pPr>
        <w:pStyle w:val="ListParagraph"/>
        <w:numPr>
          <w:ilvl w:val="0"/>
          <w:numId w:val="41"/>
        </w:numPr>
      </w:pPr>
      <w:r>
        <w:t xml:space="preserve">Portaria Normativa CGU nº 75/2023 (Banco de Sanções)</w:t>
      </w:r>
    </w:p>
    <w:p>
      <w:pPr/>
      <w:r>
        <w:rPr>
          <w:b/>
        </w:rPr>
        <w:t xml:space="preserve">Jurisprudência e orientação</w:t>
      </w:r>
    </w:p>
    <w:p>
      <w:pPr>
        <w:pStyle w:val="ListParagraph"/>
        <w:numPr>
          <w:ilvl w:val="0"/>
          <w:numId w:val="42"/>
        </w:numPr>
      </w:pPr>
      <w:r>
        <w:t xml:space="preserve">TCE-RO: Acórdãos APL-TC 00180/21, AC1-TC 00191/22, AC1-TC 00932/24, APL-TC 00111/25, APL-TC 00124/25, APL-TC 00147/25 e AC1-TC 00834/21 (seção 18.1)</w:t>
      </w:r>
    </w:p>
    <w:p>
      <w:pPr>
        <w:pStyle w:val="ListParagraph"/>
        <w:numPr>
          <w:ilvl w:val="0"/>
          <w:numId w:val="42"/>
        </w:numPr>
      </w:pPr>
      <w:hyperlink r:id="rId20" w:history="1">
        <w:r>
          <w:rPr>
            <w:rStyle w:val="Hyperlink"/>
          </w:rPr>
          <w:t xml:space="preserve">TCU — Licitações e Contratos: orientações e jurisprudência, item 5.8</w:t>
        </w:r>
      </w:hyperlink>
    </w:p>
    <w:p>
      <w:pPr>
        <w:pStyle w:val="ListParagraph"/>
        <w:numPr>
          <w:ilvl w:val="0"/>
          <w:numId w:val="42"/>
        </w:numPr>
      </w:pPr>
      <w:hyperlink r:id="rId21" w:history="1">
        <w:r>
          <w:rPr>
            <w:rStyle w:val="Hyperlink"/>
          </w:rPr>
          <w:t xml:space="preserve">TCU, Acórdão 1.466/2024-Plenário (Boletim de Jurisprudência nº 504), com comentário de Justen, Pereira, Oliveira e Talamini</w:t>
        </w:r>
      </w:hyperlink>
    </w:p>
    <w:p>
      <w:pPr>
        <w:pStyle w:val="ListParagraph"/>
        <w:numPr>
          <w:ilvl w:val="0"/>
          <w:numId w:val="42"/>
        </w:numPr>
      </w:pPr>
      <w:r>
        <w:t xml:space="preserve">STJ, MS 13.101/DF, 1ª Seção, 2008; STF, Súmula Vinculante nº 5</w:t>
      </w:r>
    </w:p>
    <w:p>
      <w:pPr/>
      <w:r>
        <w:rPr>
          <w:b/>
        </w:rPr>
        <w:t xml:space="preserve">Doutrina e documentos internos</w:t>
      </w:r>
    </w:p>
    <w:p>
      <w:pPr>
        <w:pStyle w:val="ListParagraph"/>
        <w:numPr>
          <w:ilvl w:val="0"/>
          <w:numId w:val="43"/>
        </w:numPr>
      </w:pPr>
      <w:r>
        <w:t xml:space="preserve">MAFISSONI, Viviane. </w:t>
      </w:r>
      <w:r>
        <w:rPr>
          <w:i/>
        </w:rPr>
        <w:t xml:space="preserve">Masterclass Sanções Administrativas: da regulamentação à aplicação prática</w:t>
      </w:r>
      <w:r>
        <w:t xml:space="preserve">. Instituto Negócios Públicos, Vitória/ES, 4 e 5 ago. 2025 (material de apoio).</w:t>
      </w:r>
    </w:p>
    <w:p>
      <w:pPr>
        <w:pStyle w:val="ListParagraph"/>
        <w:numPr>
          <w:ilvl w:val="0"/>
          <w:numId w:val="43"/>
        </w:numPr>
      </w:pPr>
      <w:r>
        <w:t xml:space="preserve">SUGESP/ASTEC. Informação Técnica e Manual Operacional sobre o Rito Sancionador, Processo SEI 0042.003370/2026-50, 14 set. 2026.</w:t>
      </w:r>
    </w:p>
    <w:p>
      <w:pPr>
        <w:pStyle w:val="ListParagraph"/>
        <w:numPr>
          <w:ilvl w:val="0"/>
          <w:numId w:val="43"/>
        </w:numPr>
      </w:pPr>
      <w:r>
        <w:t xml:space="preserve">SUGESP. Minuta de Instrução Normativa sobre o fluxo sancionatório e Avaliação Técnica dos Modelos Consultados, abr./jun. 2026.</w:t>
      </w:r>
    </w:p>
    <w:p>
      <w:pPr/>
      <w:r>
        <w:rPr>
          <w:b/>
        </w:rPr>
        <w:t xml:space="preserve">Pendências a confirmar com PGE, CGE e Assessoria Jurídica:</w:t>
      </w:r>
      <w:r>
        <w:t xml:space="preserve"> edição do ato conjunto do art. 184, § 2º, do Decreto 28.874/2024; status do Superintendente para a inidoneidade (parecer referencial da PGE e alteração da LC 965); ato da autoridade superior sobre o fluxo dos recursos contra decisões do Superintendente; leitura de "autoridade instauradora" na multa acima de 5% (este manual adota o rito simplificado com despacho e decisão do Superintendente); se a unidade setorial atende à remessa à PGE do art. 186, p.ú., II; se advertência e multa vão ao Banco de Sanções; formato da comunicação ao garantidor; fronteira entre o inciso VIII e o PAR, com a CGE; consolidação periódica de multas de mora; desconto de multa em créditos de outro contrato; marco inicial do prazo no edital de intimação.</w:t>
      </w:r>
    </w:p>
    <w:p>
      <w:pPr/>
      <w:r>
        <w:rPr>
          <w:b/>
        </w:rPr>
        <w:t xml:space="preserve">A portaria de aprovação deve definir:</w:t>
      </w:r>
      <w:r>
        <w:t xml:space="preserve"> delegação, se adotada, para decidir no rito simplificado quando a fiscalização não decidir, com publicação no DOE; comissão processante permanente e sua composição; critério da falha corrigida no prazo (seção 9.2); adoção oficial dos modelos e checklists, com controle de versão.</w:t>
      </w:r>
    </w:p>
    <w:sectPr>
      <w:headerReference w:type="default" r:id="rId26"/>
      <w:footerReference w:type="default" r:id="rId27"/>
      <w:pgSz w:w="12240" w:h="15840"/>
      <w:pgMar w:top="1440" w:right="1440" w:bottom="1440" w:left="1440" w:header="720" w:footer="720" w:gutter="0"/>
    </w:sectPr>
  </w:body>
</w:document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Página </w:t>
    </w:r>
    <w:r>
      <w:rPr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GOVERNO DO ESTADO DE RONDÔNIA · SUGESP — Manual do Processo Sancionatório</w:t>
    </w:r>
  </w:p>
</w:hd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1"/>
    <w:lvlOverride w:ilvl="0">
      <w:startOverride w:val="1"/>
    </w:lvlOverride>
  </w:num>
  <w:num w:numId="8">
    <w:abstractNumId w:val="0"/>
  </w:num>
  <w:num w:numId="9">
    <w:abstractNumId w:val="1"/>
    <w:lvlOverride w:ilvl="0">
      <w:startOverride w:val="1"/>
    </w:lvlOverride>
  </w:num>
  <w:num w:numId="10">
    <w:abstractNumId w:val="0"/>
  </w:num>
  <w:num w:numId="11">
    <w:abstractNumId w:val="1"/>
    <w:lvlOverride w:ilvl="0">
      <w:startOverride w:val="1"/>
    </w:lvlOverride>
  </w:num>
  <w:num w:numId="12">
    <w:abstractNumId w:val="1"/>
    <w:lvlOverride w:ilvl="0">
      <w:startOverride w:val="1"/>
    </w:lvlOverride>
  </w:num>
  <w:num w:numId="13">
    <w:abstractNumId w:val="1"/>
    <w:lvlOverride w:ilvl="0">
      <w:startOverride w:val="1"/>
    </w:lvlOverride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1"/>
    <w:lvlOverride w:ilvl="0">
      <w:startOverride w:val="1"/>
    </w:lvlOverride>
  </w:num>
  <w:num w:numId="19">
    <w:abstractNumId w:val="0"/>
  </w:num>
  <w:num w:numId="20">
    <w:abstractNumId w:val="0"/>
  </w:num>
  <w:num w:numId="21">
    <w:abstractNumId w:val="1"/>
    <w:lvlOverride w:ilvl="0">
      <w:startOverride w:val="1"/>
    </w:lvlOverride>
  </w:num>
  <w:num w:numId="22">
    <w:abstractNumId w:val="0"/>
  </w:num>
  <w:num w:numId="23">
    <w:abstractNumId w:val="0"/>
  </w:num>
  <w:num w:numId="24">
    <w:abstractNumId w:val="0"/>
  </w:num>
  <w:num w:numId="25">
    <w:abstractNumId w:val="1"/>
    <w:lvlOverride w:ilvl="0">
      <w:startOverride w:val="1"/>
    </w:lvlOverride>
  </w:num>
  <w:num w:numId="26">
    <w:abstractNumId w:val="1"/>
    <w:lvlOverride w:ilvl="0">
      <w:startOverride w:val="1"/>
    </w:lvlOverride>
  </w:num>
  <w:num w:numId="27">
    <w:abstractNumId w:val="0"/>
  </w:num>
  <w:num w:numId="28">
    <w:abstractNumId w:val="1"/>
    <w:lvlOverride w:ilvl="0">
      <w:startOverride w:val="1"/>
    </w:lvlOverride>
  </w:num>
  <w:num w:numId="29">
    <w:abstractNumId w:val="0"/>
  </w:num>
  <w:num w:numId="30">
    <w:abstractNumId w:val="0"/>
  </w:num>
  <w:num w:numId="31">
    <w:abstractNumId w:val="1"/>
    <w:lvlOverride w:ilvl="0">
      <w:startOverride w:val="1"/>
    </w:lvlOverride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0"/>
  </w:num>
  <w:num w:numId="41">
    <w:abstractNumId w:val="0"/>
  </w:num>
  <w:num w:numId="42">
    <w:abstractNumId w:val="0"/>
  </w:num>
  <w:num w:numId="43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sz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image" Target="media/image1.png"/><Relationship Id="rId4" Type="http://schemas.openxmlformats.org/officeDocument/2006/relationships/hyperlink" Target="https://www.planalto.gov.br/ccivil_03/_ato2019-2022/2021/lei/l14133.htm" TargetMode="External"/><Relationship Id="rId5" Type="http://schemas.openxmlformats.org/officeDocument/2006/relationships/hyperlink" Target="https://rondonia.ro.gov.br/wp-content/uploads/2024/08/LEI-N-3.830-DE-27.06.16-Regula-o-processo-administrativo-no-ambito-da-Administracao-Publica-do-Estado-de-Rondonia.pdf" TargetMode="External"/><Relationship Id="rId6" Type="http://schemas.openxmlformats.org/officeDocument/2006/relationships/hyperlink" Target="https://ppe.sistemas.ro.gov.br/Diof/Pdf/19760" TargetMode="External"/><Relationship Id="rId7" Type="http://schemas.openxmlformats.org/officeDocument/2006/relationships/hyperlink" Target="https://ditel.casacivil.ro.gov.br/COTEL/Livros/Files/D26905.pdf" TargetMode="External"/><Relationship Id="rId8" Type="http://schemas.openxmlformats.org/officeDocument/2006/relationships/hyperlink" Target="https://ditel.casacivil.ro.gov.br/COTEL/Livros/Files/D23907.pdf" TargetMode="External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hyperlink" Target="https://tce.ro.gov.br/AbrirPdfConvidado/e1789bebddf12db6f877af7fae703ed0" TargetMode="External"/><Relationship Id="rId14" Type="http://schemas.openxmlformats.org/officeDocument/2006/relationships/hyperlink" Target="https://tce.ro.gov.br/AbrirPdfConvidado/483647e64421708661c439a034288ee1" TargetMode="External"/><Relationship Id="rId15" Type="http://schemas.openxmlformats.org/officeDocument/2006/relationships/hyperlink" Target="https://tce.ro.gov.br/AbrirPdfConvidado/e3841b26a15574549692c4a63f5243cf" TargetMode="External"/><Relationship Id="rId16" Type="http://schemas.openxmlformats.org/officeDocument/2006/relationships/hyperlink" Target="https://tce.ro.gov.br/AbrirPdfConvidado/bf300b6459fdc3c0c5e80da9110673ed" TargetMode="External"/><Relationship Id="rId17" Type="http://schemas.openxmlformats.org/officeDocument/2006/relationships/hyperlink" Target="https://tce.ro.gov.br/AbrirPdfConvidado/f6662501ce14f613fa6c85b506156c08" TargetMode="External"/><Relationship Id="rId18" Type="http://schemas.openxmlformats.org/officeDocument/2006/relationships/hyperlink" Target="https://tce.ro.gov.br/AbrirPdfConvidado/9d805865d01ebc38cd10e9d49b7d01e9" TargetMode="External"/><Relationship Id="rId19" Type="http://schemas.openxmlformats.org/officeDocument/2006/relationships/hyperlink" Target="https://tce.ro.gov.br/AbrirPdfConvidado/a8d47e3975e71a7294a5dc69017117c1" TargetMode="External"/><Relationship Id="rId20" Type="http://schemas.openxmlformats.org/officeDocument/2006/relationships/hyperlink" Target="https://licitacoesecontratos.tcu.gov.br/5-8-infracoes-e-sancoes-administrativas-licitantes" TargetMode="External"/><Relationship Id="rId21" Type="http://schemas.openxmlformats.org/officeDocument/2006/relationships/hyperlink" Target="https://justen.com.br/artigo_pdf_2/arrependimento-eficaz-em-declaracao-falsa-de-me-epp-acordao-inedito-do-tribunal-de-contas-da-uniao/" TargetMode="External"/><Relationship Id="rId22" Type="http://schemas.openxmlformats.org/officeDocument/2006/relationships/hyperlink" Target="http://ditel.casacivil.ro.gov.br/COTEL/Livros/Files/DEC28874%20COMPILADO.pdf" TargetMode="External"/><Relationship Id="rId23" Type="http://schemas.openxmlformats.org/officeDocument/2006/relationships/hyperlink" Target="https://ppe.sistemas.ro.gov.br/Diof/Pdf/22554" TargetMode="External"/><Relationship Id="rId24" Type="http://schemas.openxmlformats.org/officeDocument/2006/relationships/hyperlink" Target="https://www.planalto.gov.br/ccivil_03/_ato2011-2014/2013/lei/l12846.htm" TargetMode="External"/><Relationship Id="rId25" Type="http://schemas.openxmlformats.org/officeDocument/2006/relationships/hyperlink" Target="https://www.planalto.gov.br/ccivil_03/decreto-lei/del4657compilado.htm" TargetMode="External"/><Relationship Id="rId26" Type="http://schemas.openxmlformats.org/officeDocument/2006/relationships/header" Target="header1.xml"/><Relationship Id="rId27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Manual do Processo Sancionatório de Licitantes e Contratados — SUGESPRO</dc:title>
  <dc:description>Claude Docs node/ec9c161b-e4b2@146 docx-w6</dc:description>
  <cp:revision>146</cp:revision>
</cp:coreProperties>
</file>